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AD375" w14:textId="77777777" w:rsidR="00D9363D" w:rsidRDefault="00FF5BE7" w:rsidP="00367C3A">
      <w:pPr>
        <w:rPr>
          <w:rFonts w:ascii="Times New Roman" w:hAnsi="Times New Roman"/>
        </w:rPr>
      </w:pPr>
      <w:r>
        <w:rPr>
          <w:rFonts w:ascii="Times New Roman" w:hAnsi="Times New Roman"/>
          <w:noProof/>
        </w:rPr>
        <w:object w:dxaOrig="1440" w:dyaOrig="1440" w14:anchorId="23C00D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62pt;margin-top:-9pt;width:87.1pt;height:34.1pt;z-index:251658240">
            <v:imagedata r:id="rId8" o:title=""/>
            <w10:wrap type="square"/>
          </v:shape>
          <o:OLEObject Type="Embed" ProgID="Word.Picture.8" ShapeID="_x0000_s1030" DrawAspect="Content" ObjectID="_1611382527" r:id="rId9"/>
        </w:object>
      </w:r>
    </w:p>
    <w:p w14:paraId="443F07EB" w14:textId="77777777" w:rsidR="00D9363D" w:rsidRPr="00D9363D" w:rsidRDefault="00D9363D" w:rsidP="00367C3A">
      <w:pPr>
        <w:rPr>
          <w:rFonts w:ascii="Times New Roman" w:hAnsi="Times New Roman"/>
        </w:rPr>
      </w:pPr>
    </w:p>
    <w:p w14:paraId="411FA919" w14:textId="77777777" w:rsidR="00E00854" w:rsidRDefault="00E00854" w:rsidP="00367C3A">
      <w:pPr>
        <w:rPr>
          <w:rFonts w:ascii="Times New Roman" w:hAnsi="Times New Roman"/>
          <w:b/>
        </w:rPr>
      </w:pPr>
    </w:p>
    <w:p w14:paraId="76A6FF0B" w14:textId="77777777" w:rsidR="00D9363D" w:rsidRPr="00D9363D" w:rsidRDefault="00D9363D" w:rsidP="00367C3A">
      <w:pPr>
        <w:rPr>
          <w:rFonts w:ascii="Times New Roman" w:hAnsi="Times New Roman"/>
          <w:b/>
        </w:rPr>
      </w:pPr>
      <w:r w:rsidRPr="00D9363D">
        <w:rPr>
          <w:rFonts w:ascii="Times New Roman" w:hAnsi="Times New Roman"/>
          <w:b/>
        </w:rPr>
        <w:t>MEMORANDUM</w:t>
      </w:r>
    </w:p>
    <w:p w14:paraId="7F933676" w14:textId="77777777" w:rsidR="00D9363D" w:rsidRPr="00D9363D" w:rsidRDefault="00D9363D" w:rsidP="00367C3A">
      <w:pPr>
        <w:rPr>
          <w:rFonts w:ascii="Times New Roman" w:hAnsi="Times New Roman"/>
        </w:rPr>
      </w:pPr>
    </w:p>
    <w:p w14:paraId="4D9D5B9B" w14:textId="77777777" w:rsidR="000E7EC3" w:rsidRPr="00E00854" w:rsidRDefault="00D9363D" w:rsidP="00367C3A">
      <w:pPr>
        <w:rPr>
          <w:rFonts w:ascii="Times New Roman" w:hAnsi="Times New Roman"/>
        </w:rPr>
      </w:pPr>
      <w:r w:rsidRPr="00E00854">
        <w:rPr>
          <w:rFonts w:ascii="Times New Roman" w:hAnsi="Times New Roman"/>
          <w:b/>
        </w:rPr>
        <w:t>TO</w:t>
      </w:r>
      <w:r w:rsidRPr="00E00854">
        <w:rPr>
          <w:rFonts w:ascii="Times New Roman" w:hAnsi="Times New Roman"/>
        </w:rPr>
        <w:t>:</w:t>
      </w:r>
      <w:r w:rsidRPr="00E00854">
        <w:rPr>
          <w:rFonts w:ascii="Times New Roman" w:hAnsi="Times New Roman"/>
        </w:rPr>
        <w:tab/>
      </w:r>
      <w:r w:rsidRPr="00E00854">
        <w:rPr>
          <w:rFonts w:ascii="Times New Roman" w:hAnsi="Times New Roman"/>
        </w:rPr>
        <w:tab/>
      </w:r>
      <w:r w:rsidR="000E7EC3">
        <w:rPr>
          <w:rFonts w:ascii="Times New Roman" w:hAnsi="Times New Roman"/>
        </w:rPr>
        <w:t>Jennifer Snyder, US EPA</w:t>
      </w:r>
    </w:p>
    <w:p w14:paraId="28D02433" w14:textId="77777777" w:rsidR="00D9363D" w:rsidRDefault="00D9363D" w:rsidP="00367C3A">
      <w:pPr>
        <w:tabs>
          <w:tab w:val="left" w:pos="1440"/>
        </w:tabs>
        <w:rPr>
          <w:rFonts w:ascii="Times New Roman" w:hAnsi="Times New Roman"/>
        </w:rPr>
      </w:pPr>
      <w:r w:rsidRPr="00E00854">
        <w:rPr>
          <w:rFonts w:ascii="Times New Roman" w:hAnsi="Times New Roman"/>
          <w:b/>
        </w:rPr>
        <w:t>FROM</w:t>
      </w:r>
      <w:r w:rsidRPr="00E00854">
        <w:rPr>
          <w:rFonts w:ascii="Times New Roman" w:hAnsi="Times New Roman"/>
        </w:rPr>
        <w:t>:</w:t>
      </w:r>
      <w:r w:rsidRPr="00E00854">
        <w:rPr>
          <w:rFonts w:ascii="Times New Roman" w:hAnsi="Times New Roman"/>
        </w:rPr>
        <w:tab/>
      </w:r>
      <w:r w:rsidR="00E00854" w:rsidRPr="00E00854">
        <w:rPr>
          <w:rFonts w:ascii="Times New Roman" w:hAnsi="Times New Roman"/>
        </w:rPr>
        <w:t xml:space="preserve">Mike Pring, </w:t>
      </w:r>
      <w:r w:rsidRPr="00E00854">
        <w:rPr>
          <w:rFonts w:ascii="Times New Roman" w:hAnsi="Times New Roman"/>
        </w:rPr>
        <w:t>Eastern Research Group, Inc. (ERG)</w:t>
      </w:r>
    </w:p>
    <w:p w14:paraId="540978AA" w14:textId="77777777" w:rsidR="00E85E62" w:rsidRDefault="000E7EC3" w:rsidP="00367C3A">
      <w:pPr>
        <w:tabs>
          <w:tab w:val="left" w:pos="1440"/>
        </w:tabs>
        <w:rPr>
          <w:rFonts w:ascii="Times New Roman" w:hAnsi="Times New Roman"/>
        </w:rPr>
      </w:pPr>
      <w:r>
        <w:rPr>
          <w:rFonts w:ascii="Times New Roman" w:hAnsi="Times New Roman"/>
        </w:rPr>
        <w:tab/>
        <w:t xml:space="preserve">Regi Oommen, </w:t>
      </w:r>
      <w:r w:rsidR="00E85E62" w:rsidRPr="00E00854">
        <w:rPr>
          <w:rFonts w:ascii="Times New Roman" w:hAnsi="Times New Roman"/>
        </w:rPr>
        <w:t>Eastern Research Group, Inc. (ERG)</w:t>
      </w:r>
    </w:p>
    <w:p w14:paraId="0A66FE2F" w14:textId="6219C722" w:rsidR="00D9363D" w:rsidRPr="00E00854" w:rsidRDefault="00D9363D" w:rsidP="00367C3A">
      <w:pPr>
        <w:tabs>
          <w:tab w:val="left" w:pos="1440"/>
        </w:tabs>
        <w:rPr>
          <w:rFonts w:ascii="Times New Roman" w:hAnsi="Times New Roman"/>
        </w:rPr>
      </w:pPr>
      <w:r w:rsidRPr="00E00854">
        <w:rPr>
          <w:rFonts w:ascii="Times New Roman" w:hAnsi="Times New Roman"/>
          <w:b/>
        </w:rPr>
        <w:t>DATE</w:t>
      </w:r>
      <w:r w:rsidRPr="00E00854">
        <w:rPr>
          <w:rFonts w:ascii="Times New Roman" w:hAnsi="Times New Roman"/>
        </w:rPr>
        <w:t>:</w:t>
      </w:r>
      <w:r w:rsidRPr="00E00854">
        <w:rPr>
          <w:rFonts w:ascii="Times New Roman" w:hAnsi="Times New Roman"/>
        </w:rPr>
        <w:tab/>
      </w:r>
      <w:r w:rsidR="00367C3A">
        <w:rPr>
          <w:rFonts w:ascii="Times New Roman" w:hAnsi="Times New Roman"/>
        </w:rPr>
        <w:t>February 14</w:t>
      </w:r>
      <w:r w:rsidR="007756D3">
        <w:rPr>
          <w:rFonts w:ascii="Times New Roman" w:hAnsi="Times New Roman"/>
        </w:rPr>
        <w:t>, 201</w:t>
      </w:r>
      <w:r w:rsidR="00367C3A">
        <w:rPr>
          <w:rFonts w:ascii="Times New Roman" w:hAnsi="Times New Roman"/>
        </w:rPr>
        <w:t>9</w:t>
      </w:r>
    </w:p>
    <w:p w14:paraId="2C31FE2F" w14:textId="22906842" w:rsidR="00D9363D" w:rsidRPr="00E00854" w:rsidRDefault="00D9363D" w:rsidP="00367C3A">
      <w:pPr>
        <w:pBdr>
          <w:bottom w:val="single" w:sz="4" w:space="1" w:color="auto"/>
        </w:pBdr>
        <w:tabs>
          <w:tab w:val="left" w:pos="1080"/>
        </w:tabs>
        <w:ind w:left="1440" w:hanging="1440"/>
        <w:rPr>
          <w:rFonts w:ascii="Times New Roman" w:hAnsi="Times New Roman"/>
        </w:rPr>
      </w:pPr>
      <w:r w:rsidRPr="00E00854">
        <w:rPr>
          <w:rFonts w:ascii="Times New Roman" w:hAnsi="Times New Roman"/>
          <w:b/>
        </w:rPr>
        <w:t>SUBJECT</w:t>
      </w:r>
      <w:r w:rsidRPr="00E00854">
        <w:rPr>
          <w:rFonts w:ascii="Times New Roman" w:hAnsi="Times New Roman"/>
        </w:rPr>
        <w:t>:</w:t>
      </w:r>
      <w:r w:rsidRPr="00E00854">
        <w:rPr>
          <w:rFonts w:ascii="Times New Roman" w:hAnsi="Times New Roman"/>
        </w:rPr>
        <w:tab/>
      </w:r>
      <w:r w:rsidR="000E7EC3">
        <w:rPr>
          <w:rFonts w:ascii="Times New Roman" w:hAnsi="Times New Roman"/>
        </w:rPr>
        <w:t>Summary of Revisions to</w:t>
      </w:r>
      <w:r w:rsidR="001C2E9A">
        <w:rPr>
          <w:rFonts w:ascii="Times New Roman" w:hAnsi="Times New Roman"/>
        </w:rPr>
        <w:t xml:space="preserve"> the</w:t>
      </w:r>
      <w:r w:rsidR="000E7EC3">
        <w:rPr>
          <w:rFonts w:ascii="Times New Roman" w:hAnsi="Times New Roman"/>
        </w:rPr>
        <w:t xml:space="preserve"> </w:t>
      </w:r>
      <w:r w:rsidR="001C2E9A">
        <w:rPr>
          <w:rFonts w:ascii="Times New Roman" w:hAnsi="Times New Roman"/>
        </w:rPr>
        <w:t xml:space="preserve">Nonpoint </w:t>
      </w:r>
      <w:r w:rsidR="000E7EC3">
        <w:rPr>
          <w:rFonts w:ascii="Times New Roman" w:hAnsi="Times New Roman"/>
        </w:rPr>
        <w:t xml:space="preserve">Oil and </w:t>
      </w:r>
      <w:r w:rsidR="001C2E9A">
        <w:rPr>
          <w:rFonts w:ascii="Times New Roman" w:hAnsi="Times New Roman"/>
        </w:rPr>
        <w:t>Gas</w:t>
      </w:r>
      <w:r w:rsidR="00DF392B">
        <w:rPr>
          <w:rFonts w:ascii="Times New Roman" w:hAnsi="Times New Roman"/>
        </w:rPr>
        <w:t xml:space="preserve"> Emissions Estimation</w:t>
      </w:r>
      <w:r w:rsidR="000E7EC3">
        <w:rPr>
          <w:rFonts w:ascii="Times New Roman" w:hAnsi="Times New Roman"/>
        </w:rPr>
        <w:t xml:space="preserve"> Tool</w:t>
      </w:r>
      <w:r w:rsidR="007756D3">
        <w:rPr>
          <w:rFonts w:ascii="Times New Roman" w:hAnsi="Times New Roman"/>
        </w:rPr>
        <w:t xml:space="preserve"> – 201</w:t>
      </w:r>
      <w:r w:rsidR="00367C3A">
        <w:rPr>
          <w:rFonts w:ascii="Times New Roman" w:hAnsi="Times New Roman"/>
        </w:rPr>
        <w:t>7</w:t>
      </w:r>
      <w:r w:rsidR="007756D3">
        <w:rPr>
          <w:rFonts w:ascii="Times New Roman" w:hAnsi="Times New Roman"/>
        </w:rPr>
        <w:t xml:space="preserve"> NEI Version 1</w:t>
      </w:r>
    </w:p>
    <w:p w14:paraId="14F111E4" w14:textId="76B070D9" w:rsidR="00AC03CC" w:rsidRDefault="000E7EC3" w:rsidP="00367C3A">
      <w:pPr>
        <w:rPr>
          <w:rFonts w:ascii="Times New Roman" w:hAnsi="Times New Roman"/>
          <w:color w:val="000000"/>
          <w:spacing w:val="-3"/>
          <w:w w:val="105"/>
        </w:rPr>
      </w:pPr>
      <w:r>
        <w:rPr>
          <w:rFonts w:ascii="Times New Roman" w:hAnsi="Times New Roman"/>
          <w:color w:val="000000"/>
          <w:spacing w:val="-3"/>
          <w:w w:val="105"/>
        </w:rPr>
        <w:t>The purpose of this memo</w:t>
      </w:r>
      <w:r w:rsidR="00563BCB">
        <w:rPr>
          <w:rFonts w:ascii="Times New Roman" w:hAnsi="Times New Roman"/>
          <w:color w:val="000000"/>
          <w:spacing w:val="-3"/>
          <w:w w:val="105"/>
        </w:rPr>
        <w:t>randum</w:t>
      </w:r>
      <w:r>
        <w:rPr>
          <w:rFonts w:ascii="Times New Roman" w:hAnsi="Times New Roman"/>
          <w:color w:val="000000"/>
          <w:spacing w:val="-3"/>
          <w:w w:val="105"/>
        </w:rPr>
        <w:t xml:space="preserve"> is to summarize the changes that have been made to the </w:t>
      </w:r>
      <w:r w:rsidR="001C2E9A">
        <w:rPr>
          <w:rFonts w:ascii="Times New Roman" w:hAnsi="Times New Roman"/>
        </w:rPr>
        <w:t xml:space="preserve">Nonpoint Oil and Gas Emissions Estimation Tool (Tool) </w:t>
      </w:r>
      <w:r>
        <w:rPr>
          <w:rFonts w:ascii="Times New Roman" w:hAnsi="Times New Roman"/>
          <w:color w:val="000000"/>
          <w:spacing w:val="-3"/>
          <w:w w:val="105"/>
        </w:rPr>
        <w:t>since</w:t>
      </w:r>
      <w:r w:rsidR="00730F67">
        <w:rPr>
          <w:rFonts w:ascii="Times New Roman" w:hAnsi="Times New Roman"/>
          <w:color w:val="000000"/>
          <w:spacing w:val="-3"/>
          <w:w w:val="105"/>
        </w:rPr>
        <w:t xml:space="preserve"> </w:t>
      </w:r>
      <w:r w:rsidR="007756D3">
        <w:rPr>
          <w:rFonts w:ascii="Times New Roman" w:hAnsi="Times New Roman"/>
          <w:color w:val="000000"/>
          <w:spacing w:val="-3"/>
          <w:w w:val="105"/>
        </w:rPr>
        <w:t xml:space="preserve">the </w:t>
      </w:r>
      <w:r w:rsidR="00DA0978">
        <w:rPr>
          <w:rFonts w:ascii="Times New Roman" w:hAnsi="Times New Roman"/>
          <w:color w:val="000000"/>
          <w:spacing w:val="-3"/>
          <w:w w:val="105"/>
        </w:rPr>
        <w:t>final 201</w:t>
      </w:r>
      <w:r w:rsidR="00367C3A">
        <w:rPr>
          <w:rFonts w:ascii="Times New Roman" w:hAnsi="Times New Roman"/>
          <w:color w:val="000000"/>
          <w:spacing w:val="-3"/>
          <w:w w:val="105"/>
        </w:rPr>
        <w:t>4</w:t>
      </w:r>
      <w:r w:rsidR="007756D3">
        <w:rPr>
          <w:rFonts w:ascii="Times New Roman" w:hAnsi="Times New Roman"/>
          <w:color w:val="000000"/>
          <w:spacing w:val="-3"/>
          <w:w w:val="105"/>
        </w:rPr>
        <w:t xml:space="preserve"> NEI version of the </w:t>
      </w:r>
      <w:r w:rsidR="001C2E9A">
        <w:rPr>
          <w:rFonts w:ascii="Times New Roman" w:hAnsi="Times New Roman"/>
          <w:color w:val="000000"/>
          <w:spacing w:val="-3"/>
          <w:w w:val="105"/>
        </w:rPr>
        <w:t>T</w:t>
      </w:r>
      <w:r w:rsidR="007756D3">
        <w:rPr>
          <w:rFonts w:ascii="Times New Roman" w:hAnsi="Times New Roman"/>
          <w:color w:val="000000"/>
          <w:spacing w:val="-3"/>
          <w:w w:val="105"/>
        </w:rPr>
        <w:t>ool</w:t>
      </w:r>
      <w:r w:rsidR="00E86795">
        <w:rPr>
          <w:rFonts w:ascii="Times New Roman" w:hAnsi="Times New Roman"/>
          <w:color w:val="000000"/>
          <w:spacing w:val="-3"/>
          <w:w w:val="105"/>
        </w:rPr>
        <w:t xml:space="preserve"> was released</w:t>
      </w:r>
      <w:r>
        <w:rPr>
          <w:rFonts w:ascii="Times New Roman" w:hAnsi="Times New Roman"/>
          <w:color w:val="000000"/>
          <w:spacing w:val="-3"/>
          <w:w w:val="105"/>
        </w:rPr>
        <w:t>.</w:t>
      </w:r>
    </w:p>
    <w:p w14:paraId="7F480FDF" w14:textId="77777777" w:rsidR="000E7EC3" w:rsidRDefault="000E7EC3" w:rsidP="00367C3A">
      <w:pPr>
        <w:rPr>
          <w:rFonts w:ascii="Times New Roman" w:hAnsi="Times New Roman"/>
          <w:color w:val="000000"/>
          <w:spacing w:val="-3"/>
          <w:w w:val="105"/>
        </w:rPr>
      </w:pPr>
    </w:p>
    <w:p w14:paraId="0A95D91F" w14:textId="77777777" w:rsidR="000E7EC3" w:rsidRPr="00B05A45" w:rsidRDefault="000E7EC3" w:rsidP="00367C3A">
      <w:pPr>
        <w:rPr>
          <w:rFonts w:ascii="Times New Roman" w:hAnsi="Times New Roman"/>
          <w:b/>
          <w:color w:val="000000"/>
          <w:spacing w:val="-3"/>
          <w:w w:val="105"/>
          <w:u w:val="single"/>
        </w:rPr>
      </w:pPr>
      <w:r w:rsidRPr="00B05A45">
        <w:rPr>
          <w:rFonts w:ascii="Times New Roman" w:hAnsi="Times New Roman"/>
          <w:b/>
          <w:color w:val="000000"/>
          <w:spacing w:val="-3"/>
          <w:w w:val="105"/>
          <w:u w:val="single"/>
        </w:rPr>
        <w:t>Activity</w:t>
      </w:r>
      <w:r w:rsidR="00DF392B" w:rsidRPr="00B05A45">
        <w:rPr>
          <w:rFonts w:ascii="Times New Roman" w:hAnsi="Times New Roman"/>
          <w:b/>
          <w:color w:val="000000"/>
          <w:spacing w:val="-3"/>
          <w:w w:val="105"/>
          <w:u w:val="single"/>
        </w:rPr>
        <w:t xml:space="preserve"> </w:t>
      </w:r>
      <w:r w:rsidR="00B05A45">
        <w:rPr>
          <w:rFonts w:ascii="Times New Roman" w:hAnsi="Times New Roman"/>
          <w:b/>
          <w:color w:val="000000"/>
          <w:spacing w:val="-3"/>
          <w:w w:val="105"/>
          <w:u w:val="single"/>
        </w:rPr>
        <w:t>Updates</w:t>
      </w:r>
    </w:p>
    <w:p w14:paraId="173B2736" w14:textId="77777777" w:rsidR="00367C3A" w:rsidRDefault="00367C3A" w:rsidP="00367C3A">
      <w:pPr>
        <w:rPr>
          <w:rFonts w:ascii="Times New Roman" w:hAnsi="Times New Roman"/>
        </w:rPr>
      </w:pPr>
    </w:p>
    <w:p w14:paraId="31C6CDD0" w14:textId="5DB125CA" w:rsidR="007756D3" w:rsidRPr="00BB2048" w:rsidRDefault="00367C3A" w:rsidP="00367C3A">
      <w:pPr>
        <w:rPr>
          <w:rFonts w:ascii="Times New Roman" w:hAnsi="Times New Roman"/>
        </w:rPr>
      </w:pPr>
      <w:r>
        <w:rPr>
          <w:rFonts w:ascii="Times New Roman" w:hAnsi="Times New Roman"/>
        </w:rPr>
        <w:t xml:space="preserve">2017 activity compilation is ongoing. As with the 2014 Tool, the primary source of activity data is the DI Desktop database, supplemented with data from RIGDATA, from various state oil and </w:t>
      </w:r>
      <w:r w:rsidRPr="00BB2048">
        <w:rPr>
          <w:rFonts w:ascii="Times New Roman" w:hAnsi="Times New Roman"/>
        </w:rPr>
        <w:t xml:space="preserve">gas commissions, and directly from Tool users. </w:t>
      </w:r>
      <w:r w:rsidR="00BB2048" w:rsidRPr="00BB2048">
        <w:rPr>
          <w:rFonts w:ascii="Times New Roman" w:hAnsi="Times New Roman"/>
        </w:rPr>
        <w:t>To date, data has been provided for the following states:</w:t>
      </w:r>
    </w:p>
    <w:p w14:paraId="7003AD97" w14:textId="582779AF" w:rsidR="00BB2048" w:rsidRPr="00BB2048" w:rsidRDefault="00BB2048" w:rsidP="00367C3A">
      <w:pPr>
        <w:rPr>
          <w:rFonts w:ascii="Times New Roman" w:hAnsi="Times New Roman"/>
        </w:rPr>
      </w:pPr>
    </w:p>
    <w:p w14:paraId="7F884489" w14:textId="0F33052D" w:rsidR="00BB2048" w:rsidRPr="00BB2048" w:rsidRDefault="00BB2048" w:rsidP="00BB2048">
      <w:pPr>
        <w:pStyle w:val="ListParagraph"/>
        <w:numPr>
          <w:ilvl w:val="0"/>
          <w:numId w:val="15"/>
        </w:numPr>
        <w:rPr>
          <w:rFonts w:ascii="Times New Roman" w:hAnsi="Times New Roman"/>
        </w:rPr>
      </w:pPr>
      <w:r w:rsidRPr="00BB2048">
        <w:rPr>
          <w:rFonts w:ascii="Times New Roman" w:hAnsi="Times New Roman"/>
        </w:rPr>
        <w:t>Ohio</w:t>
      </w:r>
    </w:p>
    <w:p w14:paraId="335A45D2" w14:textId="4E6A0496" w:rsidR="00BB2048" w:rsidRDefault="00BB2048" w:rsidP="00BB2048">
      <w:pPr>
        <w:pStyle w:val="ListParagraph"/>
        <w:numPr>
          <w:ilvl w:val="0"/>
          <w:numId w:val="15"/>
        </w:numPr>
        <w:rPr>
          <w:rFonts w:ascii="Times New Roman" w:hAnsi="Times New Roman"/>
        </w:rPr>
      </w:pPr>
      <w:r w:rsidRPr="00BB2048">
        <w:rPr>
          <w:rFonts w:ascii="Times New Roman" w:hAnsi="Times New Roman"/>
        </w:rPr>
        <w:t>Kansas</w:t>
      </w:r>
    </w:p>
    <w:p w14:paraId="543EBB5E" w14:textId="6795F0DC" w:rsidR="00BB2048" w:rsidRDefault="00BB2048" w:rsidP="00BB2048">
      <w:pPr>
        <w:pStyle w:val="ListParagraph"/>
        <w:numPr>
          <w:ilvl w:val="0"/>
          <w:numId w:val="15"/>
        </w:numPr>
        <w:rPr>
          <w:rFonts w:ascii="Times New Roman" w:hAnsi="Times New Roman"/>
        </w:rPr>
      </w:pPr>
      <w:r>
        <w:rPr>
          <w:rFonts w:ascii="Times New Roman" w:hAnsi="Times New Roman"/>
        </w:rPr>
        <w:t>Oklahoma (pending)</w:t>
      </w:r>
    </w:p>
    <w:p w14:paraId="64119B71" w14:textId="4A73900C" w:rsidR="00BB2048" w:rsidRPr="00BB2048" w:rsidRDefault="00BB2048" w:rsidP="00BB2048">
      <w:pPr>
        <w:pStyle w:val="ListParagraph"/>
        <w:numPr>
          <w:ilvl w:val="0"/>
          <w:numId w:val="15"/>
        </w:numPr>
        <w:rPr>
          <w:rFonts w:ascii="Times New Roman" w:hAnsi="Times New Roman"/>
        </w:rPr>
      </w:pPr>
      <w:r>
        <w:rPr>
          <w:rFonts w:ascii="Times New Roman" w:hAnsi="Times New Roman"/>
        </w:rPr>
        <w:t>Pennsylvania (pending)</w:t>
      </w:r>
    </w:p>
    <w:p w14:paraId="7D7403EA" w14:textId="00094AD4" w:rsidR="00BB2048" w:rsidRPr="00BB2048" w:rsidRDefault="00BB2048" w:rsidP="00BB2048">
      <w:pPr>
        <w:pStyle w:val="ListParagraph"/>
        <w:numPr>
          <w:ilvl w:val="0"/>
          <w:numId w:val="15"/>
        </w:numPr>
        <w:rPr>
          <w:rFonts w:ascii="Times New Roman" w:hAnsi="Times New Roman"/>
        </w:rPr>
      </w:pPr>
      <w:r w:rsidRPr="00BB2048">
        <w:rPr>
          <w:rFonts w:ascii="Times New Roman" w:hAnsi="Times New Roman"/>
        </w:rPr>
        <w:t>Texas</w:t>
      </w:r>
    </w:p>
    <w:p w14:paraId="32D2671A" w14:textId="77777777" w:rsidR="007756D3" w:rsidRPr="007756D3" w:rsidRDefault="007756D3" w:rsidP="00367C3A">
      <w:pPr>
        <w:rPr>
          <w:rFonts w:ascii="Times New Roman" w:hAnsi="Times New Roman"/>
        </w:rPr>
      </w:pPr>
    </w:p>
    <w:p w14:paraId="4CCA0F4F" w14:textId="77777777" w:rsidR="000E7EC3" w:rsidRPr="00B05A45" w:rsidRDefault="000E7EC3" w:rsidP="00367C3A">
      <w:pPr>
        <w:rPr>
          <w:rFonts w:ascii="Times New Roman" w:hAnsi="Times New Roman"/>
          <w:b/>
          <w:color w:val="000000"/>
          <w:spacing w:val="-3"/>
          <w:w w:val="105"/>
          <w:u w:val="single"/>
        </w:rPr>
      </w:pPr>
      <w:r w:rsidRPr="00B05A45">
        <w:rPr>
          <w:rFonts w:ascii="Times New Roman" w:hAnsi="Times New Roman"/>
          <w:b/>
          <w:color w:val="000000"/>
          <w:spacing w:val="-3"/>
          <w:w w:val="105"/>
          <w:u w:val="single"/>
        </w:rPr>
        <w:t xml:space="preserve">Emission </w:t>
      </w:r>
      <w:r w:rsidR="007756D3">
        <w:rPr>
          <w:rFonts w:ascii="Times New Roman" w:hAnsi="Times New Roman"/>
          <w:b/>
          <w:color w:val="000000"/>
          <w:spacing w:val="-3"/>
          <w:w w:val="105"/>
          <w:u w:val="single"/>
        </w:rPr>
        <w:t>Factor</w:t>
      </w:r>
      <w:r w:rsidR="009B60EF">
        <w:rPr>
          <w:rFonts w:ascii="Times New Roman" w:hAnsi="Times New Roman"/>
          <w:b/>
          <w:color w:val="000000"/>
          <w:spacing w:val="-3"/>
          <w:w w:val="105"/>
          <w:u w:val="single"/>
        </w:rPr>
        <w:t xml:space="preserve"> and Basin Factor</w:t>
      </w:r>
      <w:r w:rsidR="00B05A45">
        <w:rPr>
          <w:rFonts w:ascii="Times New Roman" w:hAnsi="Times New Roman"/>
          <w:b/>
          <w:color w:val="000000"/>
          <w:spacing w:val="-3"/>
          <w:w w:val="105"/>
          <w:u w:val="single"/>
        </w:rPr>
        <w:t xml:space="preserve"> Update</w:t>
      </w:r>
      <w:r w:rsidRPr="00B05A45">
        <w:rPr>
          <w:rFonts w:ascii="Times New Roman" w:hAnsi="Times New Roman"/>
          <w:b/>
          <w:color w:val="000000"/>
          <w:spacing w:val="-3"/>
          <w:w w:val="105"/>
          <w:u w:val="single"/>
        </w:rPr>
        <w:t>s</w:t>
      </w:r>
    </w:p>
    <w:p w14:paraId="0BE57269" w14:textId="77777777" w:rsidR="00367C3A" w:rsidRDefault="00367C3A" w:rsidP="00367C3A">
      <w:pPr>
        <w:rPr>
          <w:rFonts w:ascii="Times New Roman" w:hAnsi="Times New Roman"/>
          <w:color w:val="000000"/>
          <w:spacing w:val="-3"/>
          <w:w w:val="105"/>
        </w:rPr>
      </w:pPr>
    </w:p>
    <w:p w14:paraId="6A034E1A" w14:textId="44CB3165" w:rsidR="007756D3" w:rsidRPr="0020278F" w:rsidRDefault="009B60EF" w:rsidP="00367C3A">
      <w:pPr>
        <w:rPr>
          <w:rFonts w:ascii="Times New Roman" w:hAnsi="Times New Roman"/>
          <w:color w:val="000000"/>
          <w:spacing w:val="-3"/>
          <w:w w:val="105"/>
        </w:rPr>
      </w:pPr>
      <w:r>
        <w:rPr>
          <w:rFonts w:ascii="Times New Roman" w:hAnsi="Times New Roman"/>
          <w:color w:val="000000"/>
          <w:spacing w:val="-3"/>
          <w:w w:val="105"/>
        </w:rPr>
        <w:t xml:space="preserve">1) </w:t>
      </w:r>
      <w:r w:rsidR="00367C3A" w:rsidRPr="0020278F">
        <w:rPr>
          <w:rFonts w:ascii="Times New Roman" w:hAnsi="Times New Roman"/>
          <w:color w:val="000000"/>
          <w:spacing w:val="-3"/>
          <w:w w:val="105"/>
        </w:rPr>
        <w:t xml:space="preserve">Emission factor references for Artificial Lifts, Lateral Compressors, and Wellhead Compressors have been </w:t>
      </w:r>
      <w:r w:rsidR="0020278F" w:rsidRPr="0020278F">
        <w:rPr>
          <w:rFonts w:ascii="Times New Roman" w:hAnsi="Times New Roman"/>
          <w:color w:val="000000"/>
          <w:spacing w:val="-3"/>
          <w:w w:val="105"/>
        </w:rPr>
        <w:t>revised</w:t>
      </w:r>
      <w:r w:rsidR="00DD414A" w:rsidRPr="0020278F">
        <w:rPr>
          <w:rFonts w:ascii="Times New Roman" w:hAnsi="Times New Roman"/>
          <w:color w:val="000000"/>
          <w:spacing w:val="-3"/>
          <w:w w:val="105"/>
        </w:rPr>
        <w:t xml:space="preserve"> to provide </w:t>
      </w:r>
      <w:r w:rsidR="0032375E">
        <w:rPr>
          <w:rFonts w:ascii="Times New Roman" w:hAnsi="Times New Roman"/>
          <w:color w:val="000000"/>
          <w:spacing w:val="-3"/>
          <w:w w:val="105"/>
        </w:rPr>
        <w:t>specific</w:t>
      </w:r>
      <w:r w:rsidR="00DD414A" w:rsidRPr="0020278F">
        <w:rPr>
          <w:rFonts w:ascii="Times New Roman" w:hAnsi="Times New Roman"/>
          <w:color w:val="000000"/>
          <w:spacing w:val="-3"/>
          <w:w w:val="105"/>
        </w:rPr>
        <w:t xml:space="preserve"> details </w:t>
      </w:r>
      <w:r w:rsidR="00537A05" w:rsidRPr="0020278F">
        <w:rPr>
          <w:rFonts w:ascii="Times New Roman" w:hAnsi="Times New Roman"/>
          <w:color w:val="000000"/>
          <w:spacing w:val="-3"/>
          <w:w w:val="105"/>
        </w:rPr>
        <w:t>identifying AP-42 Section and table</w:t>
      </w:r>
      <w:r w:rsidR="0020278F" w:rsidRPr="0020278F">
        <w:rPr>
          <w:rFonts w:ascii="Times New Roman" w:hAnsi="Times New Roman"/>
          <w:color w:val="000000"/>
          <w:spacing w:val="-3"/>
          <w:w w:val="105"/>
        </w:rPr>
        <w:t xml:space="preserve"> number</w:t>
      </w:r>
      <w:r w:rsidR="00367C3A" w:rsidRPr="0020278F">
        <w:rPr>
          <w:rFonts w:ascii="Times New Roman" w:hAnsi="Times New Roman"/>
          <w:color w:val="000000"/>
          <w:spacing w:val="-3"/>
          <w:w w:val="105"/>
        </w:rPr>
        <w:t>.</w:t>
      </w:r>
    </w:p>
    <w:p w14:paraId="75B10C89" w14:textId="77777777" w:rsidR="00367C3A" w:rsidRPr="0020278F" w:rsidRDefault="00367C3A" w:rsidP="00367C3A">
      <w:pPr>
        <w:rPr>
          <w:rFonts w:ascii="Times New Roman" w:hAnsi="Times New Roman"/>
          <w:color w:val="000000"/>
          <w:spacing w:val="-3"/>
          <w:w w:val="105"/>
        </w:rPr>
      </w:pPr>
    </w:p>
    <w:p w14:paraId="4ABE5EDD" w14:textId="09328E6A" w:rsidR="0020278F" w:rsidRDefault="009B60EF" w:rsidP="00367C3A">
      <w:pPr>
        <w:rPr>
          <w:rFonts w:ascii="Times New Roman" w:hAnsi="Times New Roman"/>
          <w:color w:val="000000"/>
        </w:rPr>
      </w:pPr>
      <w:r w:rsidRPr="001754C2">
        <w:rPr>
          <w:rFonts w:ascii="Times New Roman" w:hAnsi="Times New Roman"/>
          <w:color w:val="000000"/>
          <w:spacing w:val="-3"/>
          <w:w w:val="105"/>
        </w:rPr>
        <w:t xml:space="preserve">2) </w:t>
      </w:r>
      <w:r w:rsidR="0020278F" w:rsidRPr="00C54EB3">
        <w:rPr>
          <w:rFonts w:ascii="Times New Roman" w:hAnsi="Times New Roman"/>
          <w:color w:val="000000"/>
        </w:rPr>
        <w:t xml:space="preserve">Added </w:t>
      </w:r>
      <w:r w:rsidR="001754C2" w:rsidRPr="001754C2">
        <w:rPr>
          <w:rFonts w:ascii="Times New Roman" w:hAnsi="Times New Roman"/>
          <w:color w:val="000000"/>
        </w:rPr>
        <w:t xml:space="preserve">AP-42 </w:t>
      </w:r>
      <w:r w:rsidR="0020278F" w:rsidRPr="00C54EB3">
        <w:rPr>
          <w:rFonts w:ascii="Times New Roman" w:hAnsi="Times New Roman"/>
          <w:color w:val="000000"/>
        </w:rPr>
        <w:t>emission factors for PM10-FIL, PM25-FIL, and PM-CON for</w:t>
      </w:r>
      <w:r w:rsidR="0020278F" w:rsidRPr="001754C2">
        <w:rPr>
          <w:rFonts w:ascii="Times New Roman" w:hAnsi="Times New Roman"/>
          <w:color w:val="000000"/>
        </w:rPr>
        <w:t xml:space="preserve"> Artificial Lifts, CBM Dewatering Pumps, Dehydrators, Heaters, Lateral Compressors, and Wellhead Compressors.</w:t>
      </w:r>
    </w:p>
    <w:p w14:paraId="28EE74C2" w14:textId="1BB1615D" w:rsidR="0020278F" w:rsidRDefault="0020278F" w:rsidP="00367C3A">
      <w:pPr>
        <w:rPr>
          <w:rFonts w:ascii="Times New Roman" w:hAnsi="Times New Roman"/>
          <w:color w:val="000000"/>
        </w:rPr>
      </w:pPr>
    </w:p>
    <w:p w14:paraId="7EF0FBAE" w14:textId="4232DA51" w:rsidR="00D06B32" w:rsidRDefault="00D06B32" w:rsidP="00367C3A">
      <w:pPr>
        <w:rPr>
          <w:rFonts w:ascii="Times New Roman" w:hAnsi="Times New Roman"/>
          <w:color w:val="000000"/>
        </w:rPr>
      </w:pPr>
      <w:r>
        <w:rPr>
          <w:rFonts w:ascii="Times New Roman" w:hAnsi="Times New Roman"/>
          <w:color w:val="000000"/>
        </w:rPr>
        <w:t>3) Added an emission factor</w:t>
      </w:r>
      <w:r w:rsidR="00A32238">
        <w:rPr>
          <w:rFonts w:ascii="Times New Roman" w:hAnsi="Times New Roman"/>
          <w:color w:val="000000"/>
        </w:rPr>
        <w:t xml:space="preserve"> of (736 MCF/completion)</w:t>
      </w:r>
      <w:r>
        <w:rPr>
          <w:rFonts w:ascii="Times New Roman" w:hAnsi="Times New Roman"/>
          <w:color w:val="000000"/>
        </w:rPr>
        <w:t xml:space="preserve"> for </w:t>
      </w:r>
      <w:r w:rsidR="00A32238">
        <w:rPr>
          <w:rFonts w:ascii="Times New Roman" w:hAnsi="Times New Roman"/>
          <w:color w:val="000000"/>
        </w:rPr>
        <w:t xml:space="preserve">unconventional oil well completions based on the </w:t>
      </w:r>
      <w:proofErr w:type="spellStart"/>
      <w:r w:rsidR="00A32238">
        <w:rPr>
          <w:rFonts w:ascii="Times New Roman" w:hAnsi="Times New Roman"/>
          <w:color w:val="000000"/>
        </w:rPr>
        <w:t>CenSARA</w:t>
      </w:r>
      <w:proofErr w:type="spellEnd"/>
      <w:r w:rsidR="00A32238">
        <w:rPr>
          <w:rFonts w:ascii="Times New Roman" w:hAnsi="Times New Roman"/>
          <w:color w:val="000000"/>
        </w:rPr>
        <w:t xml:space="preserve"> study average. No emission factor was used for this category for 2011 and 2014 as EPA was studying this source type under the NSPS OOOO/</w:t>
      </w:r>
      <w:proofErr w:type="spellStart"/>
      <w:r w:rsidR="00A32238">
        <w:rPr>
          <w:rFonts w:ascii="Times New Roman" w:hAnsi="Times New Roman"/>
          <w:color w:val="000000"/>
        </w:rPr>
        <w:t>OOOOa</w:t>
      </w:r>
      <w:proofErr w:type="spellEnd"/>
      <w:r w:rsidR="00A32238">
        <w:rPr>
          <w:rFonts w:ascii="Times New Roman" w:hAnsi="Times New Roman"/>
          <w:color w:val="000000"/>
        </w:rPr>
        <w:t xml:space="preserve"> revisions.</w:t>
      </w:r>
    </w:p>
    <w:p w14:paraId="33EE297F" w14:textId="52BABF55" w:rsidR="0032375E" w:rsidRDefault="0032375E" w:rsidP="00367C3A">
      <w:pPr>
        <w:rPr>
          <w:rFonts w:ascii="Times New Roman" w:hAnsi="Times New Roman"/>
          <w:color w:val="000000"/>
        </w:rPr>
      </w:pPr>
    </w:p>
    <w:p w14:paraId="614B03AF" w14:textId="4C60F941" w:rsidR="0032375E" w:rsidRDefault="0032375E" w:rsidP="00367C3A">
      <w:pPr>
        <w:rPr>
          <w:rFonts w:ascii="Times New Roman" w:hAnsi="Times New Roman"/>
          <w:color w:val="000000"/>
        </w:rPr>
      </w:pPr>
      <w:r>
        <w:rPr>
          <w:rFonts w:ascii="Times New Roman" w:hAnsi="Times New Roman"/>
          <w:color w:val="000000"/>
        </w:rPr>
        <w:t>4) Emissions factors for non-road engines used in drilling and hydraulic fracturing have been updated using the MOVES model to represent the 2017 calendar year.</w:t>
      </w:r>
    </w:p>
    <w:p w14:paraId="202E7C77" w14:textId="77777777" w:rsidR="00D06B32" w:rsidRDefault="00D06B32" w:rsidP="00367C3A">
      <w:pPr>
        <w:rPr>
          <w:rFonts w:ascii="Times New Roman" w:hAnsi="Times New Roman"/>
          <w:color w:val="000000"/>
        </w:rPr>
      </w:pPr>
    </w:p>
    <w:p w14:paraId="0CD36733" w14:textId="77777777" w:rsidR="00196225" w:rsidRDefault="00544ECF" w:rsidP="00367C3A">
      <w:pPr>
        <w:rPr>
          <w:rFonts w:ascii="Times New Roman" w:hAnsi="Times New Roman"/>
          <w:b/>
          <w:color w:val="000000"/>
          <w:spacing w:val="-3"/>
          <w:w w:val="105"/>
          <w:u w:val="single"/>
        </w:rPr>
      </w:pPr>
      <w:r w:rsidRPr="00B05A45">
        <w:rPr>
          <w:rFonts w:ascii="Times New Roman" w:hAnsi="Times New Roman"/>
          <w:b/>
          <w:color w:val="000000"/>
          <w:spacing w:val="-3"/>
          <w:w w:val="105"/>
          <w:u w:val="single"/>
        </w:rPr>
        <w:t>Tool Updates</w:t>
      </w:r>
    </w:p>
    <w:p w14:paraId="02769723" w14:textId="77777777" w:rsidR="00367C3A" w:rsidRDefault="00367C3A" w:rsidP="00367C3A">
      <w:pPr>
        <w:rPr>
          <w:rFonts w:ascii="Times New Roman" w:hAnsi="Times New Roman"/>
          <w:color w:val="000000"/>
          <w:spacing w:val="-3"/>
          <w:w w:val="105"/>
        </w:rPr>
      </w:pPr>
    </w:p>
    <w:p w14:paraId="252ADA62" w14:textId="7497F35D" w:rsidR="006C4A9A" w:rsidRDefault="006C4A9A" w:rsidP="00367C3A">
      <w:pPr>
        <w:rPr>
          <w:rFonts w:ascii="Times New Roman" w:hAnsi="Times New Roman"/>
          <w:color w:val="000000"/>
          <w:spacing w:val="-3"/>
          <w:w w:val="105"/>
        </w:rPr>
      </w:pPr>
      <w:r>
        <w:rPr>
          <w:rFonts w:ascii="Times New Roman" w:hAnsi="Times New Roman"/>
          <w:color w:val="000000"/>
          <w:spacing w:val="-3"/>
          <w:w w:val="105"/>
        </w:rPr>
        <w:t xml:space="preserve">1) </w:t>
      </w:r>
      <w:r w:rsidR="00537A05">
        <w:rPr>
          <w:rFonts w:ascii="Times New Roman" w:hAnsi="Times New Roman"/>
          <w:color w:val="000000"/>
          <w:spacing w:val="-3"/>
          <w:w w:val="105"/>
        </w:rPr>
        <w:t xml:space="preserve">Coalbed Methane Dewatering Pumps have been added as a new source category. There are currently no default data for this category, so no default emission estimates are generated from the Tool. To </w:t>
      </w:r>
      <w:r w:rsidR="0032375E">
        <w:rPr>
          <w:rFonts w:ascii="Times New Roman" w:hAnsi="Times New Roman"/>
          <w:color w:val="000000"/>
          <w:spacing w:val="-3"/>
          <w:w w:val="105"/>
        </w:rPr>
        <w:t>estimate emissions from this source category</w:t>
      </w:r>
      <w:r w:rsidR="00537A05">
        <w:rPr>
          <w:rFonts w:ascii="Times New Roman" w:hAnsi="Times New Roman"/>
          <w:color w:val="000000"/>
          <w:spacing w:val="-3"/>
          <w:w w:val="105"/>
        </w:rPr>
        <w:t>, the following data is needed:</w:t>
      </w:r>
    </w:p>
    <w:p w14:paraId="5E0BEC96" w14:textId="77777777" w:rsidR="00537A05" w:rsidRDefault="00537A05" w:rsidP="00537A05">
      <w:pPr>
        <w:pStyle w:val="ListParagraph"/>
        <w:spacing w:before="36"/>
        <w:rPr>
          <w:rFonts w:ascii="Times New Roman" w:hAnsi="Times New Roman"/>
          <w:color w:val="000000"/>
          <w:spacing w:val="-3"/>
          <w:w w:val="105"/>
        </w:rPr>
      </w:pPr>
    </w:p>
    <w:tbl>
      <w:tblPr>
        <w:tblStyle w:val="TableGrid"/>
        <w:tblW w:w="0" w:type="auto"/>
        <w:jc w:val="center"/>
        <w:tblLook w:val="04A0" w:firstRow="1" w:lastRow="0" w:firstColumn="1" w:lastColumn="0" w:noHBand="0" w:noVBand="1"/>
      </w:tblPr>
      <w:tblGrid>
        <w:gridCol w:w="7003"/>
        <w:gridCol w:w="2321"/>
      </w:tblGrid>
      <w:tr w:rsidR="00537A05" w14:paraId="74E9A39F" w14:textId="77777777" w:rsidTr="00537A05">
        <w:trPr>
          <w:jc w:val="center"/>
        </w:trPr>
        <w:tc>
          <w:tcPr>
            <w:tcW w:w="6557" w:type="dxa"/>
            <w:shd w:val="clear" w:color="auto" w:fill="BFBFBF" w:themeFill="background1" w:themeFillShade="BF"/>
            <w:vAlign w:val="center"/>
          </w:tcPr>
          <w:p w14:paraId="0A801B80" w14:textId="5931D2E2" w:rsidR="00537A05" w:rsidRPr="005A3FEF" w:rsidRDefault="00537A05" w:rsidP="00537A05">
            <w:pPr>
              <w:pStyle w:val="ListParagraph"/>
              <w:spacing w:before="36"/>
              <w:ind w:left="0"/>
              <w:jc w:val="center"/>
              <w:rPr>
                <w:rFonts w:ascii="Times New Roman" w:hAnsi="Times New Roman"/>
                <w:b/>
                <w:color w:val="000000"/>
                <w:spacing w:val="-3"/>
                <w:w w:val="105"/>
              </w:rPr>
            </w:pPr>
            <w:r>
              <w:rPr>
                <w:rFonts w:ascii="Times New Roman" w:hAnsi="Times New Roman"/>
                <w:b/>
                <w:color w:val="000000"/>
                <w:spacing w:val="-3"/>
                <w:w w:val="105"/>
              </w:rPr>
              <w:t>Data Field</w:t>
            </w:r>
          </w:p>
        </w:tc>
        <w:tc>
          <w:tcPr>
            <w:tcW w:w="2321" w:type="dxa"/>
            <w:shd w:val="clear" w:color="auto" w:fill="BFBFBF" w:themeFill="background1" w:themeFillShade="BF"/>
            <w:vAlign w:val="center"/>
          </w:tcPr>
          <w:p w14:paraId="27D6C253" w14:textId="1E665D15" w:rsidR="00537A05" w:rsidRPr="005A3FEF" w:rsidRDefault="00537A05" w:rsidP="00537A05">
            <w:pPr>
              <w:pStyle w:val="ListParagraph"/>
              <w:spacing w:before="36"/>
              <w:ind w:left="0"/>
              <w:jc w:val="center"/>
              <w:rPr>
                <w:rFonts w:ascii="Times New Roman" w:hAnsi="Times New Roman"/>
                <w:b/>
                <w:color w:val="000000"/>
                <w:spacing w:val="-3"/>
                <w:w w:val="105"/>
              </w:rPr>
            </w:pPr>
            <w:r>
              <w:rPr>
                <w:rFonts w:ascii="Times New Roman" w:hAnsi="Times New Roman"/>
                <w:b/>
                <w:color w:val="000000"/>
                <w:spacing w:val="-3"/>
                <w:w w:val="105"/>
              </w:rPr>
              <w:t>Description</w:t>
            </w:r>
          </w:p>
        </w:tc>
      </w:tr>
      <w:tr w:rsidR="00537A05" w14:paraId="1CE9E771" w14:textId="77777777" w:rsidTr="00537A05">
        <w:trPr>
          <w:jc w:val="center"/>
        </w:trPr>
        <w:tc>
          <w:tcPr>
            <w:tcW w:w="6557" w:type="dxa"/>
            <w:vAlign w:val="center"/>
          </w:tcPr>
          <w:p w14:paraId="4236F0D0" w14:textId="4A70B0E4" w:rsidR="00537A05" w:rsidRPr="00537A05" w:rsidRDefault="00537A05" w:rsidP="00537A05">
            <w:pPr>
              <w:pStyle w:val="ListParagraph"/>
              <w:spacing w:before="36"/>
              <w:ind w:left="0"/>
              <w:rPr>
                <w:rFonts w:ascii="Times New Roman" w:hAnsi="Times New Roman"/>
                <w:color w:val="000000"/>
                <w:spacing w:val="-3"/>
                <w:w w:val="105"/>
              </w:rPr>
            </w:pPr>
            <w:r w:rsidRPr="00537A05">
              <w:rPr>
                <w:rFonts w:ascii="Times New Roman" w:hAnsi="Times New Roman"/>
                <w:color w:val="000000"/>
              </w:rPr>
              <w:t>CBM_DEWATERING_PUMPS_ANNUAL_ACTIVITY_HOURS</w:t>
            </w:r>
          </w:p>
        </w:tc>
        <w:tc>
          <w:tcPr>
            <w:tcW w:w="2321" w:type="dxa"/>
            <w:vAlign w:val="center"/>
          </w:tcPr>
          <w:p w14:paraId="2174E7B6" w14:textId="5026D8BC" w:rsidR="00537A05" w:rsidRPr="00537A05" w:rsidRDefault="00537A05" w:rsidP="00537A05">
            <w:pPr>
              <w:rPr>
                <w:rFonts w:ascii="Times New Roman" w:hAnsi="Times New Roman"/>
              </w:rPr>
            </w:pPr>
            <w:r w:rsidRPr="00537A05">
              <w:rPr>
                <w:rFonts w:ascii="Times New Roman" w:hAnsi="Times New Roman"/>
              </w:rPr>
              <w:t xml:space="preserve">Number of annual hours operated for </w:t>
            </w:r>
            <w:r w:rsidR="00BB2048">
              <w:rPr>
                <w:rFonts w:ascii="Times New Roman" w:hAnsi="Times New Roman"/>
              </w:rPr>
              <w:t>dewatering pump</w:t>
            </w:r>
            <w:r w:rsidRPr="00537A05">
              <w:rPr>
                <w:rFonts w:ascii="Times New Roman" w:hAnsi="Times New Roman"/>
              </w:rPr>
              <w:t xml:space="preserve"> engines (</w:t>
            </w:r>
            <w:proofErr w:type="spellStart"/>
            <w:r w:rsidRPr="00537A05">
              <w:rPr>
                <w:rFonts w:ascii="Times New Roman" w:hAnsi="Times New Roman"/>
              </w:rPr>
              <w:t>hr</w:t>
            </w:r>
            <w:proofErr w:type="spellEnd"/>
            <w:r w:rsidRPr="00537A05">
              <w:rPr>
                <w:rFonts w:ascii="Times New Roman" w:hAnsi="Times New Roman"/>
              </w:rPr>
              <w:t>/</w:t>
            </w:r>
            <w:proofErr w:type="spellStart"/>
            <w:r w:rsidRPr="00537A05">
              <w:rPr>
                <w:rFonts w:ascii="Times New Roman" w:hAnsi="Times New Roman"/>
              </w:rPr>
              <w:t>yr</w:t>
            </w:r>
            <w:proofErr w:type="spellEnd"/>
            <w:r w:rsidRPr="00537A05">
              <w:rPr>
                <w:rFonts w:ascii="Times New Roman" w:hAnsi="Times New Roman"/>
              </w:rPr>
              <w:t>)</w:t>
            </w:r>
          </w:p>
        </w:tc>
      </w:tr>
      <w:tr w:rsidR="00537A05" w14:paraId="71210ED0" w14:textId="77777777" w:rsidTr="00537A05">
        <w:trPr>
          <w:jc w:val="center"/>
        </w:trPr>
        <w:tc>
          <w:tcPr>
            <w:tcW w:w="6557" w:type="dxa"/>
            <w:vAlign w:val="center"/>
          </w:tcPr>
          <w:p w14:paraId="5460A7FA" w14:textId="6A00B882" w:rsidR="00537A05" w:rsidRPr="00537A05" w:rsidRDefault="00537A05" w:rsidP="00537A05">
            <w:pPr>
              <w:pStyle w:val="ListParagraph"/>
              <w:spacing w:before="36"/>
              <w:ind w:left="0"/>
              <w:rPr>
                <w:rFonts w:ascii="Times New Roman" w:hAnsi="Times New Roman"/>
                <w:color w:val="000000"/>
                <w:spacing w:val="-3"/>
                <w:w w:val="105"/>
              </w:rPr>
            </w:pPr>
            <w:r w:rsidRPr="00537A05">
              <w:rPr>
                <w:rFonts w:ascii="Times New Roman" w:hAnsi="Times New Roman"/>
                <w:color w:val="000000"/>
              </w:rPr>
              <w:t>CBM_DEWATERING_PUMPS_ENGINE_HP</w:t>
            </w:r>
          </w:p>
        </w:tc>
        <w:tc>
          <w:tcPr>
            <w:tcW w:w="2321" w:type="dxa"/>
            <w:vAlign w:val="center"/>
          </w:tcPr>
          <w:p w14:paraId="27F15A47" w14:textId="77DDA0EC" w:rsidR="00537A05" w:rsidRPr="00537A05" w:rsidRDefault="00537A05" w:rsidP="00537A05">
            <w:pPr>
              <w:rPr>
                <w:rFonts w:ascii="Times New Roman" w:hAnsi="Times New Roman"/>
              </w:rPr>
            </w:pPr>
            <w:r w:rsidRPr="00537A05">
              <w:rPr>
                <w:rFonts w:ascii="Times New Roman" w:hAnsi="Times New Roman"/>
              </w:rPr>
              <w:t xml:space="preserve">Horsepower (HP) of a </w:t>
            </w:r>
            <w:r>
              <w:rPr>
                <w:rFonts w:ascii="Times New Roman" w:hAnsi="Times New Roman"/>
              </w:rPr>
              <w:t>dewatering pump</w:t>
            </w:r>
            <w:r w:rsidRPr="00537A05">
              <w:rPr>
                <w:rFonts w:ascii="Times New Roman" w:hAnsi="Times New Roman"/>
              </w:rPr>
              <w:t xml:space="preserve"> engine</w:t>
            </w:r>
          </w:p>
        </w:tc>
      </w:tr>
      <w:tr w:rsidR="00537A05" w14:paraId="74A5E455" w14:textId="77777777" w:rsidTr="00537A05">
        <w:trPr>
          <w:jc w:val="center"/>
        </w:trPr>
        <w:tc>
          <w:tcPr>
            <w:tcW w:w="6557" w:type="dxa"/>
            <w:vAlign w:val="center"/>
          </w:tcPr>
          <w:p w14:paraId="1C42242C" w14:textId="4E3C06AE" w:rsidR="00537A05" w:rsidRPr="00537A05" w:rsidRDefault="00537A05" w:rsidP="00537A05">
            <w:pPr>
              <w:pStyle w:val="ListParagraph"/>
              <w:spacing w:before="36"/>
              <w:ind w:left="0"/>
              <w:rPr>
                <w:rFonts w:ascii="Times New Roman" w:hAnsi="Times New Roman"/>
                <w:color w:val="000000"/>
                <w:spacing w:val="-3"/>
                <w:w w:val="105"/>
              </w:rPr>
            </w:pPr>
            <w:r w:rsidRPr="00537A05">
              <w:rPr>
                <w:rFonts w:ascii="Times New Roman" w:hAnsi="Times New Roman"/>
                <w:color w:val="000000"/>
              </w:rPr>
              <w:t>CBM_DEWATERING_PUMPS_FRACTION_ELECTRIC</w:t>
            </w:r>
          </w:p>
        </w:tc>
        <w:tc>
          <w:tcPr>
            <w:tcW w:w="2321" w:type="dxa"/>
            <w:vAlign w:val="center"/>
          </w:tcPr>
          <w:p w14:paraId="2EFE80F4" w14:textId="28085824" w:rsidR="00537A05" w:rsidRPr="00537A05" w:rsidRDefault="00537A05" w:rsidP="00537A05">
            <w:pPr>
              <w:rPr>
                <w:rFonts w:ascii="Times New Roman" w:hAnsi="Times New Roman"/>
              </w:rPr>
            </w:pPr>
            <w:r w:rsidRPr="00537A05">
              <w:rPr>
                <w:rFonts w:ascii="Times New Roman" w:hAnsi="Times New Roman"/>
              </w:rPr>
              <w:t xml:space="preserve">Fraction of </w:t>
            </w:r>
            <w:r>
              <w:rPr>
                <w:rFonts w:ascii="Times New Roman" w:hAnsi="Times New Roman"/>
              </w:rPr>
              <w:t>dewatering pump</w:t>
            </w:r>
            <w:r w:rsidRPr="00537A05">
              <w:rPr>
                <w:rFonts w:ascii="Times New Roman" w:hAnsi="Times New Roman"/>
              </w:rPr>
              <w:t xml:space="preserve"> engines that are electric</w:t>
            </w:r>
          </w:p>
        </w:tc>
      </w:tr>
      <w:tr w:rsidR="00537A05" w14:paraId="127B3E03" w14:textId="77777777" w:rsidTr="00537A05">
        <w:trPr>
          <w:jc w:val="center"/>
        </w:trPr>
        <w:tc>
          <w:tcPr>
            <w:tcW w:w="6557" w:type="dxa"/>
            <w:vAlign w:val="center"/>
          </w:tcPr>
          <w:p w14:paraId="1B358CF6" w14:textId="7A288E46" w:rsidR="00537A05" w:rsidRPr="00537A05" w:rsidRDefault="00537A05" w:rsidP="00537A05">
            <w:pPr>
              <w:pStyle w:val="ListParagraph"/>
              <w:spacing w:before="36"/>
              <w:ind w:left="0"/>
              <w:rPr>
                <w:rFonts w:ascii="Times New Roman" w:hAnsi="Times New Roman"/>
                <w:color w:val="000000"/>
                <w:spacing w:val="-3"/>
                <w:w w:val="105"/>
              </w:rPr>
            </w:pPr>
            <w:r w:rsidRPr="00537A05">
              <w:rPr>
                <w:rFonts w:ascii="Times New Roman" w:hAnsi="Times New Roman"/>
                <w:color w:val="000000"/>
              </w:rPr>
              <w:t>CBM_DEWATERING_PUMPS_LOAD_FACTOR_LIFT_ENGINES</w:t>
            </w:r>
          </w:p>
        </w:tc>
        <w:tc>
          <w:tcPr>
            <w:tcW w:w="2321" w:type="dxa"/>
            <w:vAlign w:val="center"/>
          </w:tcPr>
          <w:p w14:paraId="358A3760" w14:textId="7D0FD260" w:rsidR="00537A05" w:rsidRPr="00537A05" w:rsidRDefault="00537A05" w:rsidP="00537A05">
            <w:pPr>
              <w:rPr>
                <w:rFonts w:ascii="Times New Roman" w:hAnsi="Times New Roman"/>
              </w:rPr>
            </w:pPr>
            <w:r w:rsidRPr="00537A05">
              <w:rPr>
                <w:rFonts w:ascii="Times New Roman" w:hAnsi="Times New Roman"/>
              </w:rPr>
              <w:t>Load factor of a</w:t>
            </w:r>
            <w:r>
              <w:rPr>
                <w:rFonts w:ascii="Times New Roman" w:hAnsi="Times New Roman"/>
              </w:rPr>
              <w:t xml:space="preserve"> dewatering pump</w:t>
            </w:r>
            <w:r w:rsidRPr="00537A05">
              <w:rPr>
                <w:rFonts w:ascii="Times New Roman" w:hAnsi="Times New Roman"/>
              </w:rPr>
              <w:t xml:space="preserve"> engine</w:t>
            </w:r>
          </w:p>
        </w:tc>
      </w:tr>
      <w:tr w:rsidR="00537A05" w14:paraId="717E1718" w14:textId="77777777" w:rsidTr="00537A05">
        <w:trPr>
          <w:jc w:val="center"/>
        </w:trPr>
        <w:tc>
          <w:tcPr>
            <w:tcW w:w="6557" w:type="dxa"/>
            <w:vAlign w:val="center"/>
          </w:tcPr>
          <w:p w14:paraId="1D06AE4B" w14:textId="3CD4B4FE" w:rsidR="00537A05" w:rsidRPr="00537A05" w:rsidRDefault="00537A05" w:rsidP="00537A05">
            <w:pPr>
              <w:pStyle w:val="ListParagraph"/>
              <w:spacing w:before="36"/>
              <w:ind w:left="0"/>
              <w:rPr>
                <w:rFonts w:ascii="Times New Roman" w:hAnsi="Times New Roman"/>
                <w:color w:val="000000"/>
                <w:spacing w:val="-3"/>
                <w:w w:val="105"/>
              </w:rPr>
            </w:pPr>
            <w:r w:rsidRPr="00537A05">
              <w:rPr>
                <w:rFonts w:ascii="Times New Roman" w:hAnsi="Times New Roman"/>
                <w:color w:val="000000"/>
              </w:rPr>
              <w:t>CBMWELLS_FRACTION_ NEED_PUMP</w:t>
            </w:r>
          </w:p>
        </w:tc>
        <w:tc>
          <w:tcPr>
            <w:tcW w:w="2321" w:type="dxa"/>
            <w:vAlign w:val="center"/>
          </w:tcPr>
          <w:p w14:paraId="0AFB9B36" w14:textId="3C3CBBA9" w:rsidR="00537A05" w:rsidRPr="00537A05" w:rsidRDefault="00537A05" w:rsidP="00537A05">
            <w:pPr>
              <w:rPr>
                <w:rFonts w:ascii="Times New Roman" w:hAnsi="Times New Roman"/>
              </w:rPr>
            </w:pPr>
            <w:r>
              <w:rPr>
                <w:rFonts w:ascii="Times New Roman" w:hAnsi="Times New Roman"/>
              </w:rPr>
              <w:t>Fraction of CBM wells with dewatering pump engines</w:t>
            </w:r>
          </w:p>
        </w:tc>
      </w:tr>
    </w:tbl>
    <w:p w14:paraId="43CB1352" w14:textId="618C31B4" w:rsidR="00C54EB3" w:rsidRDefault="00C54EB3" w:rsidP="00367C3A">
      <w:pPr>
        <w:rPr>
          <w:rFonts w:ascii="Times New Roman" w:hAnsi="Times New Roman"/>
          <w:color w:val="000000"/>
          <w:spacing w:val="-3"/>
          <w:w w:val="105"/>
        </w:rPr>
      </w:pPr>
    </w:p>
    <w:p w14:paraId="148DCC5A" w14:textId="6E7EE1CD" w:rsidR="0020278F" w:rsidRPr="0032375E" w:rsidRDefault="0020278F" w:rsidP="0020278F">
      <w:pPr>
        <w:rPr>
          <w:rFonts w:ascii="Times New Roman" w:hAnsi="Times New Roman"/>
          <w:color w:val="000000"/>
          <w:spacing w:val="-3"/>
          <w:w w:val="105"/>
        </w:rPr>
      </w:pPr>
      <w:r w:rsidRPr="001754C2">
        <w:rPr>
          <w:rFonts w:ascii="Times New Roman" w:hAnsi="Times New Roman"/>
          <w:color w:val="000000"/>
          <w:spacing w:val="-3"/>
          <w:w w:val="105"/>
        </w:rPr>
        <w:t xml:space="preserve">2) State/County </w:t>
      </w:r>
      <w:r w:rsidRPr="0032375E">
        <w:rPr>
          <w:rFonts w:ascii="Times New Roman" w:hAnsi="Times New Roman"/>
          <w:color w:val="000000"/>
          <w:spacing w:val="-3"/>
          <w:w w:val="105"/>
        </w:rPr>
        <w:t>FIPS codes were updated for several counties in South Dakota and Alaska.</w:t>
      </w:r>
    </w:p>
    <w:p w14:paraId="5A5BC099" w14:textId="14A96D36" w:rsidR="0020278F" w:rsidRPr="0032375E" w:rsidRDefault="0020278F" w:rsidP="00367C3A">
      <w:pPr>
        <w:rPr>
          <w:rFonts w:ascii="Times New Roman" w:hAnsi="Times New Roman"/>
          <w:color w:val="000000"/>
          <w:spacing w:val="-3"/>
          <w:w w:val="105"/>
        </w:rPr>
      </w:pPr>
    </w:p>
    <w:p w14:paraId="42CF6E49" w14:textId="2821B778" w:rsidR="0020278F" w:rsidRPr="0032375E" w:rsidRDefault="0020278F" w:rsidP="00367C3A">
      <w:pPr>
        <w:rPr>
          <w:rFonts w:ascii="Times New Roman" w:hAnsi="Times New Roman"/>
          <w:color w:val="000000"/>
        </w:rPr>
      </w:pPr>
      <w:r w:rsidRPr="0032375E">
        <w:rPr>
          <w:rFonts w:ascii="Times New Roman" w:hAnsi="Times New Roman"/>
          <w:color w:val="000000"/>
          <w:spacing w:val="-3"/>
          <w:w w:val="105"/>
        </w:rPr>
        <w:t xml:space="preserve">3) </w:t>
      </w:r>
      <w:r w:rsidRPr="0032375E">
        <w:rPr>
          <w:rFonts w:ascii="Times New Roman" w:hAnsi="Times New Roman"/>
          <w:color w:val="000000"/>
        </w:rPr>
        <w:t>Updated county-level average temperature to 2017.</w:t>
      </w:r>
    </w:p>
    <w:p w14:paraId="308837A2" w14:textId="74CB0ECD" w:rsidR="001754C2" w:rsidRPr="0032375E" w:rsidRDefault="001754C2" w:rsidP="00367C3A">
      <w:pPr>
        <w:rPr>
          <w:rFonts w:ascii="Times New Roman" w:hAnsi="Times New Roman"/>
          <w:color w:val="000000"/>
        </w:rPr>
      </w:pPr>
    </w:p>
    <w:p w14:paraId="2D03BD38" w14:textId="40D01CC0" w:rsidR="001754C2" w:rsidRPr="0032375E" w:rsidRDefault="001754C2" w:rsidP="00367C3A">
      <w:pPr>
        <w:rPr>
          <w:rFonts w:ascii="Times New Roman" w:hAnsi="Times New Roman"/>
          <w:color w:val="000000"/>
        </w:rPr>
      </w:pPr>
      <w:r w:rsidRPr="0032375E">
        <w:rPr>
          <w:rFonts w:ascii="Times New Roman" w:hAnsi="Times New Roman"/>
          <w:color w:val="000000"/>
        </w:rPr>
        <w:t>4) Updated county</w:t>
      </w:r>
      <w:r w:rsidR="00CF0C55">
        <w:rPr>
          <w:rFonts w:ascii="Times New Roman" w:hAnsi="Times New Roman"/>
          <w:color w:val="000000"/>
        </w:rPr>
        <w:t>-level ozone</w:t>
      </w:r>
      <w:r w:rsidRPr="0032375E">
        <w:rPr>
          <w:rFonts w:ascii="Times New Roman" w:hAnsi="Times New Roman"/>
          <w:color w:val="000000"/>
        </w:rPr>
        <w:t xml:space="preserve"> attainment st</w:t>
      </w:r>
      <w:bookmarkStart w:id="0" w:name="_GoBack"/>
      <w:bookmarkEnd w:id="0"/>
      <w:r w:rsidRPr="0032375E">
        <w:rPr>
          <w:rFonts w:ascii="Times New Roman" w:hAnsi="Times New Roman"/>
          <w:color w:val="000000"/>
        </w:rPr>
        <w:t>atus, as of 6/30/2018.</w:t>
      </w:r>
    </w:p>
    <w:p w14:paraId="21EF6440" w14:textId="77E59D39" w:rsidR="0032375E" w:rsidRPr="0032375E" w:rsidRDefault="0032375E" w:rsidP="00367C3A">
      <w:pPr>
        <w:rPr>
          <w:rFonts w:ascii="Times New Roman" w:hAnsi="Times New Roman"/>
          <w:color w:val="000000"/>
        </w:rPr>
      </w:pPr>
    </w:p>
    <w:p w14:paraId="6BA5F166" w14:textId="768DC126" w:rsidR="0032375E" w:rsidRPr="0032375E" w:rsidRDefault="0032375E" w:rsidP="00367C3A">
      <w:pPr>
        <w:rPr>
          <w:rFonts w:ascii="Times New Roman" w:hAnsi="Times New Roman"/>
          <w:color w:val="000000"/>
        </w:rPr>
      </w:pPr>
      <w:r w:rsidRPr="0032375E">
        <w:rPr>
          <w:rFonts w:ascii="Times New Roman" w:hAnsi="Times New Roman"/>
          <w:color w:val="000000"/>
        </w:rPr>
        <w:t xml:space="preserve">5) The single SCC previously used to </w:t>
      </w:r>
      <w:r>
        <w:rPr>
          <w:rFonts w:ascii="Times New Roman" w:hAnsi="Times New Roman"/>
          <w:color w:val="000000"/>
        </w:rPr>
        <w:t>categorize</w:t>
      </w:r>
      <w:r w:rsidRPr="0032375E">
        <w:rPr>
          <w:rFonts w:ascii="Times New Roman" w:hAnsi="Times New Roman"/>
          <w:color w:val="000000"/>
        </w:rPr>
        <w:t xml:space="preserve"> emissions from produced water has been disaggregated into 3 new SCCs, one each for CBM, Gas, and Oil wells.</w:t>
      </w:r>
    </w:p>
    <w:p w14:paraId="490044B1" w14:textId="77777777" w:rsidR="0032375E" w:rsidRPr="0032375E" w:rsidRDefault="0032375E" w:rsidP="0032375E">
      <w:pPr>
        <w:pStyle w:val="ListParagraph"/>
        <w:spacing w:before="36"/>
        <w:rPr>
          <w:rFonts w:ascii="Times New Roman" w:hAnsi="Times New Roman"/>
          <w:color w:val="000000"/>
          <w:spacing w:val="-3"/>
          <w:w w:val="105"/>
        </w:rPr>
      </w:pPr>
    </w:p>
    <w:tbl>
      <w:tblPr>
        <w:tblStyle w:val="TableGrid"/>
        <w:tblW w:w="0" w:type="auto"/>
        <w:jc w:val="center"/>
        <w:tblLook w:val="04A0" w:firstRow="1" w:lastRow="0" w:firstColumn="1" w:lastColumn="0" w:noHBand="0" w:noVBand="1"/>
      </w:tblPr>
      <w:tblGrid>
        <w:gridCol w:w="1705"/>
        <w:gridCol w:w="3960"/>
      </w:tblGrid>
      <w:tr w:rsidR="0032375E" w:rsidRPr="0032375E" w14:paraId="4AD12454" w14:textId="77777777" w:rsidTr="0032375E">
        <w:trPr>
          <w:jc w:val="center"/>
        </w:trPr>
        <w:tc>
          <w:tcPr>
            <w:tcW w:w="1705" w:type="dxa"/>
            <w:shd w:val="clear" w:color="auto" w:fill="BFBFBF" w:themeFill="background1" w:themeFillShade="BF"/>
            <w:vAlign w:val="center"/>
          </w:tcPr>
          <w:p w14:paraId="2A581770" w14:textId="029BDC8A" w:rsidR="0032375E" w:rsidRPr="0032375E" w:rsidRDefault="0032375E" w:rsidP="00683A83">
            <w:pPr>
              <w:pStyle w:val="ListParagraph"/>
              <w:spacing w:before="36"/>
              <w:ind w:left="0"/>
              <w:jc w:val="center"/>
              <w:rPr>
                <w:rFonts w:ascii="Times New Roman" w:hAnsi="Times New Roman"/>
                <w:b/>
                <w:color w:val="000000"/>
                <w:spacing w:val="-3"/>
                <w:w w:val="105"/>
              </w:rPr>
            </w:pPr>
            <w:r w:rsidRPr="0032375E">
              <w:rPr>
                <w:rFonts w:ascii="Times New Roman" w:hAnsi="Times New Roman"/>
                <w:b/>
                <w:color w:val="000000"/>
                <w:spacing w:val="-3"/>
                <w:w w:val="105"/>
              </w:rPr>
              <w:t>SCC</w:t>
            </w:r>
          </w:p>
        </w:tc>
        <w:tc>
          <w:tcPr>
            <w:tcW w:w="3960" w:type="dxa"/>
            <w:shd w:val="clear" w:color="auto" w:fill="BFBFBF" w:themeFill="background1" w:themeFillShade="BF"/>
            <w:vAlign w:val="center"/>
          </w:tcPr>
          <w:p w14:paraId="1087F510" w14:textId="4DF17D13" w:rsidR="0032375E" w:rsidRPr="0032375E" w:rsidRDefault="0032375E" w:rsidP="00683A83">
            <w:pPr>
              <w:pStyle w:val="ListParagraph"/>
              <w:spacing w:before="36"/>
              <w:ind w:left="0"/>
              <w:jc w:val="center"/>
              <w:rPr>
                <w:rFonts w:ascii="Times New Roman" w:hAnsi="Times New Roman"/>
                <w:b/>
                <w:color w:val="000000"/>
                <w:spacing w:val="-3"/>
                <w:w w:val="105"/>
              </w:rPr>
            </w:pPr>
            <w:r w:rsidRPr="0032375E">
              <w:rPr>
                <w:rFonts w:ascii="Times New Roman" w:hAnsi="Times New Roman"/>
                <w:b/>
                <w:color w:val="000000"/>
                <w:spacing w:val="-3"/>
                <w:w w:val="105"/>
              </w:rPr>
              <w:t>Level 4 Description</w:t>
            </w:r>
          </w:p>
        </w:tc>
      </w:tr>
      <w:tr w:rsidR="0032375E" w:rsidRPr="0032375E" w14:paraId="05BC8A38" w14:textId="77777777" w:rsidTr="0032375E">
        <w:trPr>
          <w:jc w:val="center"/>
        </w:trPr>
        <w:tc>
          <w:tcPr>
            <w:tcW w:w="1705" w:type="dxa"/>
            <w:vAlign w:val="center"/>
          </w:tcPr>
          <w:p w14:paraId="546B8939" w14:textId="44BD0C03" w:rsidR="0032375E" w:rsidRPr="0032375E" w:rsidRDefault="0032375E" w:rsidP="0032375E">
            <w:pPr>
              <w:pStyle w:val="ListParagraph"/>
              <w:spacing w:before="36"/>
              <w:ind w:left="0"/>
              <w:rPr>
                <w:rFonts w:ascii="Times New Roman" w:hAnsi="Times New Roman"/>
                <w:color w:val="000000"/>
                <w:spacing w:val="-3"/>
                <w:w w:val="105"/>
              </w:rPr>
            </w:pPr>
            <w:r w:rsidRPr="0032375E">
              <w:rPr>
                <w:rFonts w:ascii="Times New Roman" w:hAnsi="Times New Roman"/>
                <w:color w:val="000000"/>
              </w:rPr>
              <w:t>2310000551</w:t>
            </w:r>
          </w:p>
        </w:tc>
        <w:tc>
          <w:tcPr>
            <w:tcW w:w="3960" w:type="dxa"/>
            <w:vAlign w:val="center"/>
          </w:tcPr>
          <w:p w14:paraId="3C7C4053" w14:textId="23829F44" w:rsidR="0032375E" w:rsidRPr="0032375E" w:rsidRDefault="0032375E" w:rsidP="0032375E">
            <w:pPr>
              <w:rPr>
                <w:rFonts w:ascii="Times New Roman" w:hAnsi="Times New Roman"/>
              </w:rPr>
            </w:pPr>
            <w:r w:rsidRPr="0032375E">
              <w:rPr>
                <w:rFonts w:ascii="Times New Roman" w:hAnsi="Times New Roman"/>
                <w:color w:val="000000"/>
              </w:rPr>
              <w:t>Produced Water from CBM Wells</w:t>
            </w:r>
          </w:p>
        </w:tc>
      </w:tr>
      <w:tr w:rsidR="0032375E" w:rsidRPr="0032375E" w14:paraId="6CE94E2B" w14:textId="77777777" w:rsidTr="0032375E">
        <w:trPr>
          <w:jc w:val="center"/>
        </w:trPr>
        <w:tc>
          <w:tcPr>
            <w:tcW w:w="1705" w:type="dxa"/>
            <w:vAlign w:val="center"/>
          </w:tcPr>
          <w:p w14:paraId="2D0F468F" w14:textId="6524B4D0" w:rsidR="0032375E" w:rsidRPr="0032375E" w:rsidRDefault="0032375E" w:rsidP="0032375E">
            <w:pPr>
              <w:pStyle w:val="ListParagraph"/>
              <w:spacing w:before="36"/>
              <w:ind w:left="0"/>
              <w:rPr>
                <w:rFonts w:ascii="Times New Roman" w:hAnsi="Times New Roman"/>
                <w:color w:val="000000"/>
                <w:spacing w:val="-3"/>
                <w:w w:val="105"/>
              </w:rPr>
            </w:pPr>
            <w:r w:rsidRPr="0032375E">
              <w:rPr>
                <w:rFonts w:ascii="Times New Roman" w:hAnsi="Times New Roman"/>
                <w:color w:val="000000"/>
              </w:rPr>
              <w:t>2310000552</w:t>
            </w:r>
          </w:p>
        </w:tc>
        <w:tc>
          <w:tcPr>
            <w:tcW w:w="3960" w:type="dxa"/>
            <w:vAlign w:val="center"/>
          </w:tcPr>
          <w:p w14:paraId="3E12A8FA" w14:textId="4C3989D8" w:rsidR="0032375E" w:rsidRPr="0032375E" w:rsidRDefault="0032375E" w:rsidP="0032375E">
            <w:pPr>
              <w:rPr>
                <w:rFonts w:ascii="Times New Roman" w:hAnsi="Times New Roman"/>
              </w:rPr>
            </w:pPr>
            <w:r w:rsidRPr="0032375E">
              <w:rPr>
                <w:rFonts w:ascii="Times New Roman" w:hAnsi="Times New Roman"/>
                <w:color w:val="000000"/>
              </w:rPr>
              <w:t>Produced Water from Gas Wells</w:t>
            </w:r>
          </w:p>
        </w:tc>
      </w:tr>
      <w:tr w:rsidR="0032375E" w:rsidRPr="0032375E" w14:paraId="7594E241" w14:textId="77777777" w:rsidTr="0032375E">
        <w:trPr>
          <w:jc w:val="center"/>
        </w:trPr>
        <w:tc>
          <w:tcPr>
            <w:tcW w:w="1705" w:type="dxa"/>
            <w:vAlign w:val="center"/>
          </w:tcPr>
          <w:p w14:paraId="4D68AF2C" w14:textId="566A0E17" w:rsidR="0032375E" w:rsidRPr="0032375E" w:rsidRDefault="0032375E" w:rsidP="0032375E">
            <w:pPr>
              <w:pStyle w:val="ListParagraph"/>
              <w:spacing w:before="36"/>
              <w:ind w:left="0"/>
              <w:rPr>
                <w:rFonts w:ascii="Times New Roman" w:hAnsi="Times New Roman"/>
                <w:color w:val="000000"/>
                <w:spacing w:val="-3"/>
                <w:w w:val="105"/>
              </w:rPr>
            </w:pPr>
            <w:r w:rsidRPr="0032375E">
              <w:rPr>
                <w:rFonts w:ascii="Times New Roman" w:hAnsi="Times New Roman"/>
                <w:color w:val="000000"/>
              </w:rPr>
              <w:t>2310000553</w:t>
            </w:r>
          </w:p>
        </w:tc>
        <w:tc>
          <w:tcPr>
            <w:tcW w:w="3960" w:type="dxa"/>
            <w:vAlign w:val="center"/>
          </w:tcPr>
          <w:p w14:paraId="44150606" w14:textId="3DAB7467" w:rsidR="0032375E" w:rsidRPr="0032375E" w:rsidRDefault="0032375E" w:rsidP="0032375E">
            <w:pPr>
              <w:rPr>
                <w:rFonts w:ascii="Times New Roman" w:hAnsi="Times New Roman"/>
              </w:rPr>
            </w:pPr>
            <w:r w:rsidRPr="0032375E">
              <w:rPr>
                <w:rFonts w:ascii="Times New Roman" w:hAnsi="Times New Roman"/>
                <w:color w:val="000000"/>
              </w:rPr>
              <w:t>Produced Water from Oil Wells</w:t>
            </w:r>
          </w:p>
        </w:tc>
      </w:tr>
    </w:tbl>
    <w:p w14:paraId="510DF2F6" w14:textId="77777777" w:rsidR="0032375E" w:rsidRDefault="0032375E" w:rsidP="00367C3A">
      <w:pPr>
        <w:rPr>
          <w:rFonts w:ascii="Times New Roman" w:hAnsi="Times New Roman"/>
          <w:color w:val="000000"/>
        </w:rPr>
      </w:pPr>
    </w:p>
    <w:p w14:paraId="3CBC6ED3" w14:textId="04310324" w:rsidR="0032375E" w:rsidRDefault="0032375E" w:rsidP="00367C3A">
      <w:pPr>
        <w:rPr>
          <w:rFonts w:ascii="Times New Roman" w:hAnsi="Times New Roman"/>
          <w:color w:val="000000"/>
        </w:rPr>
      </w:pPr>
      <w:r>
        <w:rPr>
          <w:rFonts w:ascii="Times New Roman" w:hAnsi="Times New Roman"/>
          <w:color w:val="000000"/>
        </w:rPr>
        <w:t>6) Vapor Recovery Units (VRU) have been added as a control device for crude oil and condensate storage tanks. Previously, only combustion devices (flares, enclosed combustors) were considered. VRU prevalence on a county-level is expected to be available from data reported under GHGRP Subpart W.</w:t>
      </w:r>
    </w:p>
    <w:p w14:paraId="67522B5B" w14:textId="56563380" w:rsidR="000A7178" w:rsidRDefault="000A7178" w:rsidP="00367C3A">
      <w:pPr>
        <w:rPr>
          <w:rFonts w:ascii="Times New Roman" w:hAnsi="Times New Roman"/>
          <w:color w:val="000000"/>
        </w:rPr>
      </w:pPr>
    </w:p>
    <w:p w14:paraId="31478E05" w14:textId="1FAC8534" w:rsidR="000A7178" w:rsidRPr="00B05A45" w:rsidRDefault="000A7178" w:rsidP="000A7178">
      <w:pPr>
        <w:rPr>
          <w:rFonts w:ascii="Times New Roman" w:hAnsi="Times New Roman"/>
          <w:b/>
          <w:color w:val="000000"/>
          <w:spacing w:val="-3"/>
          <w:w w:val="105"/>
          <w:u w:val="single"/>
        </w:rPr>
      </w:pPr>
      <w:r>
        <w:rPr>
          <w:rFonts w:ascii="Times New Roman" w:hAnsi="Times New Roman"/>
          <w:b/>
          <w:color w:val="000000"/>
          <w:spacing w:val="-3"/>
          <w:w w:val="105"/>
          <w:u w:val="single"/>
        </w:rPr>
        <w:t>Pending</w:t>
      </w:r>
      <w:r w:rsidRPr="00B05A45">
        <w:rPr>
          <w:rFonts w:ascii="Times New Roman" w:hAnsi="Times New Roman"/>
          <w:b/>
          <w:color w:val="000000"/>
          <w:spacing w:val="-3"/>
          <w:w w:val="105"/>
          <w:u w:val="single"/>
        </w:rPr>
        <w:t xml:space="preserve"> </w:t>
      </w:r>
      <w:r>
        <w:rPr>
          <w:rFonts w:ascii="Times New Roman" w:hAnsi="Times New Roman"/>
          <w:b/>
          <w:color w:val="000000"/>
          <w:spacing w:val="-3"/>
          <w:w w:val="105"/>
          <w:u w:val="single"/>
        </w:rPr>
        <w:t>Updates</w:t>
      </w:r>
    </w:p>
    <w:p w14:paraId="01180261" w14:textId="53930521" w:rsidR="000A7178" w:rsidRPr="0020278F" w:rsidRDefault="000A7178" w:rsidP="000A7178">
      <w:pPr>
        <w:rPr>
          <w:rFonts w:ascii="Times New Roman" w:hAnsi="Times New Roman"/>
          <w:color w:val="000000"/>
          <w:spacing w:val="-3"/>
          <w:w w:val="105"/>
        </w:rPr>
      </w:pPr>
      <w:r>
        <w:rPr>
          <w:rFonts w:ascii="Times New Roman" w:hAnsi="Times New Roman"/>
          <w:color w:val="000000"/>
          <w:spacing w:val="-3"/>
          <w:w w:val="105"/>
        </w:rPr>
        <w:lastRenderedPageBreak/>
        <w:t>1) GHGRP Subpart W analysis and data incorporation</w:t>
      </w:r>
      <w:r w:rsidRPr="0020278F">
        <w:rPr>
          <w:rFonts w:ascii="Times New Roman" w:hAnsi="Times New Roman"/>
          <w:color w:val="000000"/>
          <w:spacing w:val="-3"/>
          <w:w w:val="105"/>
        </w:rPr>
        <w:t>.</w:t>
      </w:r>
    </w:p>
    <w:p w14:paraId="111FF059" w14:textId="77777777" w:rsidR="000A7178" w:rsidRPr="0020278F" w:rsidRDefault="000A7178" w:rsidP="000A7178">
      <w:pPr>
        <w:rPr>
          <w:rFonts w:ascii="Times New Roman" w:hAnsi="Times New Roman"/>
          <w:color w:val="000000"/>
          <w:spacing w:val="-3"/>
          <w:w w:val="105"/>
        </w:rPr>
      </w:pPr>
    </w:p>
    <w:p w14:paraId="11544726" w14:textId="70324508" w:rsidR="000A7178" w:rsidRDefault="000A7178" w:rsidP="000A7178">
      <w:pPr>
        <w:rPr>
          <w:rFonts w:ascii="Times New Roman" w:hAnsi="Times New Roman"/>
          <w:color w:val="000000"/>
        </w:rPr>
      </w:pPr>
      <w:r w:rsidRPr="001754C2">
        <w:rPr>
          <w:rFonts w:ascii="Times New Roman" w:hAnsi="Times New Roman"/>
          <w:color w:val="000000"/>
          <w:spacing w:val="-3"/>
          <w:w w:val="105"/>
        </w:rPr>
        <w:t xml:space="preserve">2) </w:t>
      </w:r>
      <w:r>
        <w:rPr>
          <w:rFonts w:ascii="Times New Roman" w:hAnsi="Times New Roman"/>
          <w:color w:val="000000"/>
          <w:spacing w:val="-3"/>
          <w:w w:val="105"/>
        </w:rPr>
        <w:t xml:space="preserve">Revised tool inputs based on </w:t>
      </w:r>
      <w:r>
        <w:rPr>
          <w:rFonts w:ascii="Times New Roman" w:hAnsi="Times New Roman"/>
          <w:color w:val="000000"/>
        </w:rPr>
        <w:t>EPA ORD study conducted in West Virginia</w:t>
      </w:r>
      <w:r w:rsidRPr="001754C2">
        <w:rPr>
          <w:rFonts w:ascii="Times New Roman" w:hAnsi="Times New Roman"/>
          <w:color w:val="000000"/>
        </w:rPr>
        <w:t>.</w:t>
      </w:r>
    </w:p>
    <w:p w14:paraId="5357AC17" w14:textId="77777777" w:rsidR="000A7178" w:rsidRDefault="000A7178" w:rsidP="00367C3A">
      <w:pPr>
        <w:rPr>
          <w:rFonts w:ascii="Times New Roman" w:hAnsi="Times New Roman"/>
          <w:color w:val="000000"/>
        </w:rPr>
      </w:pPr>
    </w:p>
    <w:p w14:paraId="44028F7D" w14:textId="189708AF" w:rsidR="000A7178" w:rsidRPr="0032375E" w:rsidRDefault="000A7178" w:rsidP="00367C3A">
      <w:pPr>
        <w:rPr>
          <w:rFonts w:ascii="Times New Roman" w:hAnsi="Times New Roman"/>
          <w:color w:val="000000"/>
        </w:rPr>
      </w:pPr>
      <w:r>
        <w:rPr>
          <w:rFonts w:ascii="Times New Roman" w:hAnsi="Times New Roman"/>
          <w:color w:val="000000"/>
        </w:rPr>
        <w:t>3) Addition of controls for produced water tanks.</w:t>
      </w:r>
    </w:p>
    <w:sectPr w:rsidR="000A7178" w:rsidRPr="0032375E" w:rsidSect="00A879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C58A6" w14:textId="77777777" w:rsidR="00FF5BE7" w:rsidRDefault="00FF5BE7" w:rsidP="00A0509A">
      <w:r>
        <w:separator/>
      </w:r>
    </w:p>
  </w:endnote>
  <w:endnote w:type="continuationSeparator" w:id="0">
    <w:p w14:paraId="1A459515" w14:textId="77777777" w:rsidR="00FF5BE7" w:rsidRDefault="00FF5BE7" w:rsidP="00A0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BADC8" w14:textId="77777777" w:rsidR="00FF5BE7" w:rsidRDefault="00FF5BE7" w:rsidP="00A0509A">
      <w:r>
        <w:separator/>
      </w:r>
    </w:p>
  </w:footnote>
  <w:footnote w:type="continuationSeparator" w:id="0">
    <w:p w14:paraId="1A45B65F" w14:textId="77777777" w:rsidR="00FF5BE7" w:rsidRDefault="00FF5BE7" w:rsidP="00A05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1494A"/>
    <w:multiLevelType w:val="hybridMultilevel"/>
    <w:tmpl w:val="CB22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5E0871"/>
    <w:multiLevelType w:val="hybridMultilevel"/>
    <w:tmpl w:val="133653C6"/>
    <w:lvl w:ilvl="0" w:tplc="A42C9CE2">
      <w:start w:val="1"/>
      <w:numFmt w:val="decimal"/>
      <w:lvlText w:val="%1)"/>
      <w:lvlJc w:val="left"/>
      <w:pPr>
        <w:ind w:left="720" w:hanging="360"/>
      </w:pPr>
      <w:rPr>
        <w:rFonts w:hint="default"/>
        <w:color w:val="000000"/>
        <w:w w:val="105"/>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645B0E"/>
    <w:multiLevelType w:val="hybridMultilevel"/>
    <w:tmpl w:val="0234DC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6CB6098"/>
    <w:multiLevelType w:val="hybridMultilevel"/>
    <w:tmpl w:val="D5AE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8F63B7"/>
    <w:multiLevelType w:val="hybridMultilevel"/>
    <w:tmpl w:val="BDA26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B147C5"/>
    <w:multiLevelType w:val="hybridMultilevel"/>
    <w:tmpl w:val="29F642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3EE3312"/>
    <w:multiLevelType w:val="hybridMultilevel"/>
    <w:tmpl w:val="09EAA4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5C27668"/>
    <w:multiLevelType w:val="hybridMultilevel"/>
    <w:tmpl w:val="8FE864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4B361C8C"/>
    <w:multiLevelType w:val="hybridMultilevel"/>
    <w:tmpl w:val="017401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6A4C7F"/>
    <w:multiLevelType w:val="hybridMultilevel"/>
    <w:tmpl w:val="EE189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382522"/>
    <w:multiLevelType w:val="multilevel"/>
    <w:tmpl w:val="69788E70"/>
    <w:lvl w:ilvl="0">
      <w:start w:val="1"/>
      <w:numFmt w:val="bullet"/>
      <w:lvlText w:val=""/>
      <w:lvlJc w:val="left"/>
      <w:pPr>
        <w:tabs>
          <w:tab w:val="decimal" w:pos="504"/>
        </w:tabs>
        <w:ind w:left="720"/>
      </w:pPr>
      <w:rPr>
        <w:rFonts w:ascii="Symbol" w:hAnsi="Symbol"/>
        <w:strike w:val="0"/>
        <w:color w:val="000000"/>
        <w:spacing w:val="-4"/>
        <w:w w:val="105"/>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0C7D3C"/>
    <w:multiLevelType w:val="hybridMultilevel"/>
    <w:tmpl w:val="53CC13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F9E5C2D"/>
    <w:multiLevelType w:val="multilevel"/>
    <w:tmpl w:val="E73A5EC2"/>
    <w:lvl w:ilvl="0">
      <w:start w:val="1"/>
      <w:numFmt w:val="bullet"/>
      <w:lvlText w:val=""/>
      <w:lvlJc w:val="left"/>
      <w:pPr>
        <w:tabs>
          <w:tab w:val="decimal" w:pos="432"/>
        </w:tabs>
        <w:ind w:left="720"/>
      </w:pPr>
      <w:rPr>
        <w:rFonts w:ascii="Symbol" w:hAnsi="Symbol"/>
        <w:strike w:val="0"/>
        <w:color w:val="000000"/>
        <w:spacing w:val="18"/>
        <w:w w:val="105"/>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890894"/>
    <w:multiLevelType w:val="hybridMultilevel"/>
    <w:tmpl w:val="9B080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9480FF9"/>
    <w:multiLevelType w:val="multilevel"/>
    <w:tmpl w:val="0F42C996"/>
    <w:lvl w:ilvl="0">
      <w:start w:val="5"/>
      <w:numFmt w:val="upperRoman"/>
      <w:lvlText w:val="%1."/>
      <w:lvlJc w:val="left"/>
      <w:pPr>
        <w:tabs>
          <w:tab w:val="decimal" w:pos="792"/>
        </w:tabs>
        <w:ind w:left="720"/>
      </w:pPr>
      <w:rPr>
        <w:rFonts w:ascii="Times New Roman" w:hAnsi="Times New Roman"/>
        <w:b/>
        <w:strike w:val="0"/>
        <w:color w:val="000000"/>
        <w:spacing w:val="36"/>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0"/>
  </w:num>
  <w:num w:numId="3">
    <w:abstractNumId w:val="14"/>
  </w:num>
  <w:num w:numId="4">
    <w:abstractNumId w:val="11"/>
  </w:num>
  <w:num w:numId="5">
    <w:abstractNumId w:val="5"/>
  </w:num>
  <w:num w:numId="6">
    <w:abstractNumId w:val="7"/>
  </w:num>
  <w:num w:numId="7">
    <w:abstractNumId w:val="9"/>
  </w:num>
  <w:num w:numId="8">
    <w:abstractNumId w:val="6"/>
  </w:num>
  <w:num w:numId="9">
    <w:abstractNumId w:val="13"/>
  </w:num>
  <w:num w:numId="10">
    <w:abstractNumId w:val="4"/>
  </w:num>
  <w:num w:numId="11">
    <w:abstractNumId w:val="8"/>
  </w:num>
  <w:num w:numId="12">
    <w:abstractNumId w:val="1"/>
  </w:num>
  <w:num w:numId="13">
    <w:abstractNumId w:val="2"/>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09A"/>
    <w:rsid w:val="00001B8A"/>
    <w:rsid w:val="000126C2"/>
    <w:rsid w:val="00017EEB"/>
    <w:rsid w:val="00033EDE"/>
    <w:rsid w:val="000535EF"/>
    <w:rsid w:val="000546E0"/>
    <w:rsid w:val="00075739"/>
    <w:rsid w:val="00086C1B"/>
    <w:rsid w:val="0009431C"/>
    <w:rsid w:val="00097735"/>
    <w:rsid w:val="000A7178"/>
    <w:rsid w:val="000B0AC5"/>
    <w:rsid w:val="000B3E4A"/>
    <w:rsid w:val="000C7C18"/>
    <w:rsid w:val="000E2195"/>
    <w:rsid w:val="000E7EC3"/>
    <w:rsid w:val="0010158C"/>
    <w:rsid w:val="001405B5"/>
    <w:rsid w:val="001754C2"/>
    <w:rsid w:val="0018441A"/>
    <w:rsid w:val="00196225"/>
    <w:rsid w:val="001A671E"/>
    <w:rsid w:val="001C2E9A"/>
    <w:rsid w:val="001D7E1E"/>
    <w:rsid w:val="0020278F"/>
    <w:rsid w:val="00214530"/>
    <w:rsid w:val="00216D0B"/>
    <w:rsid w:val="0023292A"/>
    <w:rsid w:val="00233E90"/>
    <w:rsid w:val="00234BA6"/>
    <w:rsid w:val="00251A23"/>
    <w:rsid w:val="00274561"/>
    <w:rsid w:val="002A23BF"/>
    <w:rsid w:val="002B0204"/>
    <w:rsid w:val="002C2187"/>
    <w:rsid w:val="002F2279"/>
    <w:rsid w:val="00303B47"/>
    <w:rsid w:val="003220A1"/>
    <w:rsid w:val="0032375E"/>
    <w:rsid w:val="00324585"/>
    <w:rsid w:val="003553DF"/>
    <w:rsid w:val="0036689B"/>
    <w:rsid w:val="0036778F"/>
    <w:rsid w:val="00367C3A"/>
    <w:rsid w:val="00376D9D"/>
    <w:rsid w:val="00396B3A"/>
    <w:rsid w:val="003A24B2"/>
    <w:rsid w:val="003A36EE"/>
    <w:rsid w:val="003C553A"/>
    <w:rsid w:val="003D7243"/>
    <w:rsid w:val="003E52B3"/>
    <w:rsid w:val="00420410"/>
    <w:rsid w:val="00456FC0"/>
    <w:rsid w:val="00471E0B"/>
    <w:rsid w:val="00475AF3"/>
    <w:rsid w:val="004E633E"/>
    <w:rsid w:val="005043F5"/>
    <w:rsid w:val="00537A05"/>
    <w:rsid w:val="00544ECF"/>
    <w:rsid w:val="00545E4E"/>
    <w:rsid w:val="00563BCB"/>
    <w:rsid w:val="00575EC9"/>
    <w:rsid w:val="00586D58"/>
    <w:rsid w:val="0059640A"/>
    <w:rsid w:val="005A66E6"/>
    <w:rsid w:val="005F229C"/>
    <w:rsid w:val="005F3BD1"/>
    <w:rsid w:val="005F4562"/>
    <w:rsid w:val="005F60E4"/>
    <w:rsid w:val="00603B9A"/>
    <w:rsid w:val="00622AC5"/>
    <w:rsid w:val="0062530A"/>
    <w:rsid w:val="00654134"/>
    <w:rsid w:val="00676EF0"/>
    <w:rsid w:val="00686F2C"/>
    <w:rsid w:val="006B690C"/>
    <w:rsid w:val="006C4A9A"/>
    <w:rsid w:val="006D68F5"/>
    <w:rsid w:val="006E2917"/>
    <w:rsid w:val="00730F67"/>
    <w:rsid w:val="00750C35"/>
    <w:rsid w:val="007711D1"/>
    <w:rsid w:val="007756D3"/>
    <w:rsid w:val="007964EC"/>
    <w:rsid w:val="007A2D67"/>
    <w:rsid w:val="007B57DE"/>
    <w:rsid w:val="007D5089"/>
    <w:rsid w:val="007E0F7A"/>
    <w:rsid w:val="007E1F4E"/>
    <w:rsid w:val="007F6852"/>
    <w:rsid w:val="00817200"/>
    <w:rsid w:val="008338F3"/>
    <w:rsid w:val="0085125C"/>
    <w:rsid w:val="00860C58"/>
    <w:rsid w:val="00871C5E"/>
    <w:rsid w:val="00876FDE"/>
    <w:rsid w:val="0089182E"/>
    <w:rsid w:val="00937B42"/>
    <w:rsid w:val="00950D2C"/>
    <w:rsid w:val="009707BF"/>
    <w:rsid w:val="009760B3"/>
    <w:rsid w:val="00982D3B"/>
    <w:rsid w:val="009A73B0"/>
    <w:rsid w:val="009B34AF"/>
    <w:rsid w:val="009B60EF"/>
    <w:rsid w:val="009C29BD"/>
    <w:rsid w:val="009D3519"/>
    <w:rsid w:val="009D35D2"/>
    <w:rsid w:val="009E6197"/>
    <w:rsid w:val="009F5365"/>
    <w:rsid w:val="00A0509A"/>
    <w:rsid w:val="00A16858"/>
    <w:rsid w:val="00A261F1"/>
    <w:rsid w:val="00A32238"/>
    <w:rsid w:val="00A645C7"/>
    <w:rsid w:val="00A6759B"/>
    <w:rsid w:val="00A8549F"/>
    <w:rsid w:val="00A8795F"/>
    <w:rsid w:val="00AC03CC"/>
    <w:rsid w:val="00AC1607"/>
    <w:rsid w:val="00AC4523"/>
    <w:rsid w:val="00AD75DC"/>
    <w:rsid w:val="00AE054E"/>
    <w:rsid w:val="00AE31A8"/>
    <w:rsid w:val="00B00622"/>
    <w:rsid w:val="00B05A45"/>
    <w:rsid w:val="00B12ABD"/>
    <w:rsid w:val="00B15EA2"/>
    <w:rsid w:val="00B55C12"/>
    <w:rsid w:val="00B650B1"/>
    <w:rsid w:val="00B875E5"/>
    <w:rsid w:val="00B91BC5"/>
    <w:rsid w:val="00B939A3"/>
    <w:rsid w:val="00B94290"/>
    <w:rsid w:val="00BB2048"/>
    <w:rsid w:val="00BB242A"/>
    <w:rsid w:val="00BB5F0B"/>
    <w:rsid w:val="00C02D74"/>
    <w:rsid w:val="00C15C88"/>
    <w:rsid w:val="00C351C8"/>
    <w:rsid w:val="00C4180C"/>
    <w:rsid w:val="00C54EB3"/>
    <w:rsid w:val="00C62B4A"/>
    <w:rsid w:val="00C8385D"/>
    <w:rsid w:val="00C9375D"/>
    <w:rsid w:val="00CA1E81"/>
    <w:rsid w:val="00CA365E"/>
    <w:rsid w:val="00CB3CBB"/>
    <w:rsid w:val="00CC066F"/>
    <w:rsid w:val="00CF0C55"/>
    <w:rsid w:val="00CF1098"/>
    <w:rsid w:val="00D06B32"/>
    <w:rsid w:val="00D16F5B"/>
    <w:rsid w:val="00D21DCA"/>
    <w:rsid w:val="00D71FC5"/>
    <w:rsid w:val="00D9363D"/>
    <w:rsid w:val="00DA0761"/>
    <w:rsid w:val="00DA0978"/>
    <w:rsid w:val="00DA3287"/>
    <w:rsid w:val="00DB69C5"/>
    <w:rsid w:val="00DD1FA8"/>
    <w:rsid w:val="00DD414A"/>
    <w:rsid w:val="00DE7DD5"/>
    <w:rsid w:val="00DF392B"/>
    <w:rsid w:val="00E00854"/>
    <w:rsid w:val="00E01A32"/>
    <w:rsid w:val="00E25DFD"/>
    <w:rsid w:val="00E357C7"/>
    <w:rsid w:val="00E41917"/>
    <w:rsid w:val="00E4506D"/>
    <w:rsid w:val="00E514DD"/>
    <w:rsid w:val="00E52005"/>
    <w:rsid w:val="00E65B8F"/>
    <w:rsid w:val="00E65E50"/>
    <w:rsid w:val="00E85E62"/>
    <w:rsid w:val="00E86795"/>
    <w:rsid w:val="00EB211B"/>
    <w:rsid w:val="00EB4AA6"/>
    <w:rsid w:val="00ED72D4"/>
    <w:rsid w:val="00EE065E"/>
    <w:rsid w:val="00EE617F"/>
    <w:rsid w:val="00F04683"/>
    <w:rsid w:val="00F21E90"/>
    <w:rsid w:val="00F26495"/>
    <w:rsid w:val="00F56A43"/>
    <w:rsid w:val="00F658DF"/>
    <w:rsid w:val="00F7208C"/>
    <w:rsid w:val="00F72691"/>
    <w:rsid w:val="00F817F5"/>
    <w:rsid w:val="00F937AE"/>
    <w:rsid w:val="00FA135C"/>
    <w:rsid w:val="00FC0C37"/>
    <w:rsid w:val="00FC3D9C"/>
    <w:rsid w:val="00FE1316"/>
    <w:rsid w:val="00FF16CF"/>
    <w:rsid w:val="00FF5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334AE"/>
  <w15:docId w15:val="{16F0B9F7-BDC6-4EB4-A838-8FE31A88B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4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509A"/>
    <w:pPr>
      <w:spacing w:after="0"/>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509A"/>
    <w:pPr>
      <w:spacing w:after="0"/>
    </w:pPr>
    <w:rPr>
      <w:rFonts w:ascii="Calibri" w:eastAsia="Calibri" w:hAnsi="Calibri" w:cs="Times New Roman"/>
    </w:rPr>
  </w:style>
  <w:style w:type="paragraph" w:styleId="Header">
    <w:name w:val="header"/>
    <w:basedOn w:val="Normal"/>
    <w:link w:val="HeaderChar"/>
    <w:unhideWhenUsed/>
    <w:rsid w:val="00A0509A"/>
    <w:pPr>
      <w:tabs>
        <w:tab w:val="center" w:pos="4680"/>
        <w:tab w:val="right" w:pos="9360"/>
      </w:tabs>
    </w:pPr>
  </w:style>
  <w:style w:type="character" w:customStyle="1" w:styleId="HeaderChar">
    <w:name w:val="Header Char"/>
    <w:basedOn w:val="DefaultParagraphFont"/>
    <w:link w:val="Header"/>
    <w:rsid w:val="00A0509A"/>
    <w:rPr>
      <w:rFonts w:ascii="Calibri" w:eastAsia="Times New Roman" w:hAnsi="Calibri" w:cs="Times New Roman"/>
      <w:sz w:val="24"/>
      <w:szCs w:val="24"/>
    </w:rPr>
  </w:style>
  <w:style w:type="paragraph" w:styleId="Footer">
    <w:name w:val="footer"/>
    <w:basedOn w:val="Normal"/>
    <w:link w:val="FooterChar"/>
    <w:uiPriority w:val="99"/>
    <w:unhideWhenUsed/>
    <w:rsid w:val="00A0509A"/>
    <w:pPr>
      <w:tabs>
        <w:tab w:val="center" w:pos="4680"/>
        <w:tab w:val="right" w:pos="9360"/>
      </w:tabs>
    </w:pPr>
  </w:style>
  <w:style w:type="character" w:customStyle="1" w:styleId="FooterChar">
    <w:name w:val="Footer Char"/>
    <w:basedOn w:val="DefaultParagraphFont"/>
    <w:link w:val="Footer"/>
    <w:uiPriority w:val="99"/>
    <w:rsid w:val="00A0509A"/>
    <w:rPr>
      <w:rFonts w:ascii="Calibri" w:eastAsia="Times New Roman" w:hAnsi="Calibri" w:cs="Times New Roman"/>
      <w:sz w:val="24"/>
      <w:szCs w:val="24"/>
    </w:rPr>
  </w:style>
  <w:style w:type="paragraph" w:styleId="ListParagraph">
    <w:name w:val="List Paragraph"/>
    <w:basedOn w:val="Normal"/>
    <w:uiPriority w:val="34"/>
    <w:qFormat/>
    <w:rsid w:val="005A66E6"/>
    <w:pPr>
      <w:ind w:left="720"/>
      <w:contextualSpacing/>
    </w:pPr>
  </w:style>
  <w:style w:type="character" w:styleId="Hyperlink">
    <w:name w:val="Hyperlink"/>
    <w:basedOn w:val="DefaultParagraphFont"/>
    <w:uiPriority w:val="99"/>
    <w:unhideWhenUsed/>
    <w:rsid w:val="00274561"/>
    <w:rPr>
      <w:color w:val="0000FF" w:themeColor="hyperlink"/>
      <w:u w:val="single"/>
    </w:rPr>
  </w:style>
  <w:style w:type="character" w:styleId="FollowedHyperlink">
    <w:name w:val="FollowedHyperlink"/>
    <w:basedOn w:val="DefaultParagraphFont"/>
    <w:uiPriority w:val="99"/>
    <w:semiHidden/>
    <w:unhideWhenUsed/>
    <w:rsid w:val="00274561"/>
    <w:rPr>
      <w:color w:val="800080" w:themeColor="followedHyperlink"/>
      <w:u w:val="single"/>
    </w:rPr>
  </w:style>
  <w:style w:type="paragraph" w:styleId="FootnoteText">
    <w:name w:val="footnote text"/>
    <w:basedOn w:val="Normal"/>
    <w:link w:val="FootnoteTextChar"/>
    <w:uiPriority w:val="99"/>
    <w:unhideWhenUsed/>
    <w:rsid w:val="0036689B"/>
    <w:rPr>
      <w:sz w:val="20"/>
      <w:szCs w:val="20"/>
    </w:rPr>
  </w:style>
  <w:style w:type="character" w:customStyle="1" w:styleId="FootnoteTextChar">
    <w:name w:val="Footnote Text Char"/>
    <w:basedOn w:val="DefaultParagraphFont"/>
    <w:link w:val="FootnoteText"/>
    <w:uiPriority w:val="99"/>
    <w:rsid w:val="0036689B"/>
    <w:rPr>
      <w:rFonts w:ascii="Calibri" w:eastAsia="Times New Roman" w:hAnsi="Calibri" w:cs="Times New Roman"/>
      <w:sz w:val="20"/>
      <w:szCs w:val="20"/>
    </w:rPr>
  </w:style>
  <w:style w:type="character" w:styleId="FootnoteReference">
    <w:name w:val="footnote reference"/>
    <w:basedOn w:val="DefaultParagraphFont"/>
    <w:uiPriority w:val="99"/>
    <w:unhideWhenUsed/>
    <w:rsid w:val="0036689B"/>
    <w:rPr>
      <w:vertAlign w:val="superscript"/>
    </w:rPr>
  </w:style>
  <w:style w:type="paragraph" w:customStyle="1" w:styleId="ReportBullet">
    <w:name w:val="Report Bullet"/>
    <w:basedOn w:val="Normal"/>
    <w:uiPriority w:val="99"/>
    <w:rsid w:val="00196225"/>
    <w:pPr>
      <w:spacing w:after="60"/>
    </w:pPr>
  </w:style>
  <w:style w:type="paragraph" w:customStyle="1" w:styleId="Tabletitle-GHGPreamble">
    <w:name w:val="_Table title-GHG Preamble"/>
    <w:link w:val="Tabletitle-GHGPreambleChar"/>
    <w:uiPriority w:val="97"/>
    <w:unhideWhenUsed/>
    <w:rsid w:val="009B60EF"/>
    <w:pPr>
      <w:keepNext/>
      <w:spacing w:before="80" w:after="80"/>
      <w:outlineLvl w:val="0"/>
    </w:pPr>
    <w:rPr>
      <w:rFonts w:ascii="Courier New" w:eastAsia="Times New Roman" w:hAnsi="Courier New" w:cs="Courier New"/>
      <w:b/>
      <w:bCs/>
      <w:sz w:val="24"/>
      <w:szCs w:val="24"/>
    </w:rPr>
  </w:style>
  <w:style w:type="character" w:customStyle="1" w:styleId="Tabletitle-GHGPreambleChar">
    <w:name w:val="_Table title-GHG Preamble Char"/>
    <w:basedOn w:val="DefaultParagraphFont"/>
    <w:link w:val="Tabletitle-GHGPreamble"/>
    <w:uiPriority w:val="97"/>
    <w:rsid w:val="009B60EF"/>
    <w:rPr>
      <w:rFonts w:ascii="Courier New" w:eastAsia="Times New Roman" w:hAnsi="Courier New" w:cs="Courier New"/>
      <w:b/>
      <w:bCs/>
      <w:sz w:val="24"/>
      <w:szCs w:val="24"/>
    </w:rPr>
  </w:style>
  <w:style w:type="paragraph" w:styleId="BalloonText">
    <w:name w:val="Balloon Text"/>
    <w:basedOn w:val="Normal"/>
    <w:link w:val="BalloonTextChar"/>
    <w:uiPriority w:val="99"/>
    <w:semiHidden/>
    <w:unhideWhenUsed/>
    <w:rsid w:val="00563B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BCB"/>
    <w:rPr>
      <w:rFonts w:ascii="Segoe UI" w:eastAsia="Times New Roman" w:hAnsi="Segoe UI" w:cs="Segoe UI"/>
      <w:sz w:val="18"/>
      <w:szCs w:val="18"/>
    </w:rPr>
  </w:style>
  <w:style w:type="table" w:styleId="TableGrid">
    <w:name w:val="Table Grid"/>
    <w:basedOn w:val="TableNormal"/>
    <w:uiPriority w:val="59"/>
    <w:rsid w:val="00537A0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2048"/>
    <w:rPr>
      <w:sz w:val="16"/>
      <w:szCs w:val="16"/>
    </w:rPr>
  </w:style>
  <w:style w:type="paragraph" w:styleId="CommentText">
    <w:name w:val="annotation text"/>
    <w:basedOn w:val="Normal"/>
    <w:link w:val="CommentTextChar"/>
    <w:uiPriority w:val="99"/>
    <w:semiHidden/>
    <w:unhideWhenUsed/>
    <w:rsid w:val="00BB2048"/>
    <w:rPr>
      <w:sz w:val="20"/>
      <w:szCs w:val="20"/>
    </w:rPr>
  </w:style>
  <w:style w:type="character" w:customStyle="1" w:styleId="CommentTextChar">
    <w:name w:val="Comment Text Char"/>
    <w:basedOn w:val="DefaultParagraphFont"/>
    <w:link w:val="CommentText"/>
    <w:uiPriority w:val="99"/>
    <w:semiHidden/>
    <w:rsid w:val="00BB2048"/>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B2048"/>
    <w:rPr>
      <w:b/>
      <w:bCs/>
    </w:rPr>
  </w:style>
  <w:style w:type="character" w:customStyle="1" w:styleId="CommentSubjectChar">
    <w:name w:val="Comment Subject Char"/>
    <w:basedOn w:val="CommentTextChar"/>
    <w:link w:val="CommentSubject"/>
    <w:uiPriority w:val="99"/>
    <w:semiHidden/>
    <w:rsid w:val="00BB2048"/>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549486">
      <w:bodyDiv w:val="1"/>
      <w:marLeft w:val="0"/>
      <w:marRight w:val="0"/>
      <w:marTop w:val="0"/>
      <w:marBottom w:val="0"/>
      <w:divBdr>
        <w:top w:val="none" w:sz="0" w:space="0" w:color="auto"/>
        <w:left w:val="none" w:sz="0" w:space="0" w:color="auto"/>
        <w:bottom w:val="none" w:sz="0" w:space="0" w:color="auto"/>
        <w:right w:val="none" w:sz="0" w:space="0" w:color="auto"/>
      </w:divBdr>
    </w:div>
    <w:div w:id="1012336094">
      <w:bodyDiv w:val="1"/>
      <w:marLeft w:val="0"/>
      <w:marRight w:val="0"/>
      <w:marTop w:val="0"/>
      <w:marBottom w:val="0"/>
      <w:divBdr>
        <w:top w:val="none" w:sz="0" w:space="0" w:color="auto"/>
        <w:left w:val="none" w:sz="0" w:space="0" w:color="auto"/>
        <w:bottom w:val="none" w:sz="0" w:space="0" w:color="auto"/>
        <w:right w:val="none" w:sz="0" w:space="0" w:color="auto"/>
      </w:divBdr>
    </w:div>
    <w:div w:id="1189486451">
      <w:bodyDiv w:val="1"/>
      <w:marLeft w:val="0"/>
      <w:marRight w:val="0"/>
      <w:marTop w:val="0"/>
      <w:marBottom w:val="0"/>
      <w:divBdr>
        <w:top w:val="none" w:sz="0" w:space="0" w:color="auto"/>
        <w:left w:val="none" w:sz="0" w:space="0" w:color="auto"/>
        <w:bottom w:val="none" w:sz="0" w:space="0" w:color="auto"/>
        <w:right w:val="none" w:sz="0" w:space="0" w:color="auto"/>
      </w:divBdr>
    </w:div>
    <w:div w:id="1290161689">
      <w:bodyDiv w:val="1"/>
      <w:marLeft w:val="0"/>
      <w:marRight w:val="0"/>
      <w:marTop w:val="0"/>
      <w:marBottom w:val="0"/>
      <w:divBdr>
        <w:top w:val="none" w:sz="0" w:space="0" w:color="auto"/>
        <w:left w:val="none" w:sz="0" w:space="0" w:color="auto"/>
        <w:bottom w:val="none" w:sz="0" w:space="0" w:color="auto"/>
        <w:right w:val="none" w:sz="0" w:space="0" w:color="auto"/>
      </w:divBdr>
    </w:div>
    <w:div w:id="1431897459">
      <w:bodyDiv w:val="1"/>
      <w:marLeft w:val="0"/>
      <w:marRight w:val="0"/>
      <w:marTop w:val="0"/>
      <w:marBottom w:val="0"/>
      <w:divBdr>
        <w:top w:val="none" w:sz="0" w:space="0" w:color="auto"/>
        <w:left w:val="none" w:sz="0" w:space="0" w:color="auto"/>
        <w:bottom w:val="none" w:sz="0" w:space="0" w:color="auto"/>
        <w:right w:val="none" w:sz="0" w:space="0" w:color="auto"/>
      </w:divBdr>
    </w:div>
    <w:div w:id="2137484421">
      <w:bodyDiv w:val="1"/>
      <w:marLeft w:val="54"/>
      <w:marRight w:val="54"/>
      <w:marTop w:val="54"/>
      <w:marBottom w:val="14"/>
      <w:divBdr>
        <w:top w:val="none" w:sz="0" w:space="0" w:color="auto"/>
        <w:left w:val="none" w:sz="0" w:space="0" w:color="auto"/>
        <w:bottom w:val="none" w:sz="0" w:space="0" w:color="auto"/>
        <w:right w:val="none" w:sz="0" w:space="0" w:color="auto"/>
      </w:divBdr>
      <w:divsChild>
        <w:div w:id="2142846395">
          <w:marLeft w:val="0"/>
          <w:marRight w:val="0"/>
          <w:marTop w:val="0"/>
          <w:marBottom w:val="0"/>
          <w:divBdr>
            <w:top w:val="none" w:sz="0" w:space="0" w:color="auto"/>
            <w:left w:val="none" w:sz="0" w:space="0" w:color="auto"/>
            <w:bottom w:val="none" w:sz="0" w:space="0" w:color="auto"/>
            <w:right w:val="none" w:sz="0" w:space="0" w:color="auto"/>
          </w:divBdr>
        </w:div>
        <w:div w:id="1006858146">
          <w:marLeft w:val="0"/>
          <w:marRight w:val="0"/>
          <w:marTop w:val="0"/>
          <w:marBottom w:val="0"/>
          <w:divBdr>
            <w:top w:val="none" w:sz="0" w:space="0" w:color="auto"/>
            <w:left w:val="none" w:sz="0" w:space="0" w:color="auto"/>
            <w:bottom w:val="none" w:sz="0" w:space="0" w:color="auto"/>
            <w:right w:val="none" w:sz="0" w:space="0" w:color="auto"/>
          </w:divBdr>
        </w:div>
        <w:div w:id="907543047">
          <w:marLeft w:val="0"/>
          <w:marRight w:val="0"/>
          <w:marTop w:val="0"/>
          <w:marBottom w:val="0"/>
          <w:divBdr>
            <w:top w:val="none" w:sz="0" w:space="0" w:color="auto"/>
            <w:left w:val="none" w:sz="0" w:space="0" w:color="auto"/>
            <w:bottom w:val="none" w:sz="0" w:space="0" w:color="auto"/>
            <w:right w:val="none" w:sz="0" w:space="0" w:color="auto"/>
          </w:divBdr>
        </w:div>
        <w:div w:id="1163350027">
          <w:marLeft w:val="0"/>
          <w:marRight w:val="0"/>
          <w:marTop w:val="0"/>
          <w:marBottom w:val="0"/>
          <w:divBdr>
            <w:top w:val="none" w:sz="0" w:space="0" w:color="auto"/>
            <w:left w:val="none" w:sz="0" w:space="0" w:color="auto"/>
            <w:bottom w:val="none" w:sz="0" w:space="0" w:color="auto"/>
            <w:right w:val="none" w:sz="0" w:space="0" w:color="auto"/>
          </w:divBdr>
        </w:div>
        <w:div w:id="1311327562">
          <w:marLeft w:val="0"/>
          <w:marRight w:val="0"/>
          <w:marTop w:val="0"/>
          <w:marBottom w:val="0"/>
          <w:divBdr>
            <w:top w:val="none" w:sz="0" w:space="0" w:color="auto"/>
            <w:left w:val="none" w:sz="0" w:space="0" w:color="auto"/>
            <w:bottom w:val="none" w:sz="0" w:space="0" w:color="auto"/>
            <w:right w:val="none" w:sz="0" w:space="0" w:color="auto"/>
          </w:divBdr>
        </w:div>
        <w:div w:id="957763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A0FE8-9FBC-41F8-85CD-1EB5E52DD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Eastern Research Group, Inc.</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MOR-JTisano</dc:creator>
  <cp:lastModifiedBy>Mike Pring</cp:lastModifiedBy>
  <cp:revision>2</cp:revision>
  <dcterms:created xsi:type="dcterms:W3CDTF">2019-02-11T14:29:00Z</dcterms:created>
  <dcterms:modified xsi:type="dcterms:W3CDTF">2019-02-11T14:29:00Z</dcterms:modified>
</cp:coreProperties>
</file>